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3A2D9" w14:textId="20770096" w:rsidR="00D21578" w:rsidRPr="006A1B85" w:rsidRDefault="00D21578" w:rsidP="00D21578">
      <w:pPr>
        <w:pStyle w:val="Heading1"/>
        <w:spacing w:line="520" w:lineRule="exact"/>
        <w:ind w:left="3702"/>
        <w:rPr>
          <w:b/>
          <w:noProof/>
          <w:color w:val="auto"/>
          <w:sz w:val="48"/>
          <w:szCs w:val="48"/>
        </w:rPr>
      </w:pPr>
      <w:bookmarkStart w:id="0" w:name="_Hlk89261640"/>
      <w:bookmarkStart w:id="1" w:name="_Hlk85450265"/>
      <w:r w:rsidRPr="006A1B85">
        <w:rPr>
          <w:b/>
          <w:noProof/>
          <w:color w:val="auto"/>
          <w:sz w:val="48"/>
          <w:szCs w:val="48"/>
        </w:rPr>
        <w:t>Impact Prize</w:t>
      </w:r>
    </w:p>
    <w:bookmarkEnd w:id="0"/>
    <w:bookmarkEnd w:id="1"/>
    <w:p w14:paraId="0F9B4DE1" w14:textId="77777777" w:rsidR="00D21578" w:rsidRPr="006A1B85" w:rsidRDefault="00D21578" w:rsidP="00D21578">
      <w:pPr>
        <w:pStyle w:val="Heading1"/>
        <w:spacing w:line="520" w:lineRule="exact"/>
        <w:ind w:left="3702"/>
        <w:rPr>
          <w:b/>
          <w:color w:val="auto"/>
        </w:rPr>
      </w:pPr>
      <w:r w:rsidRPr="006A1B85">
        <w:rPr>
          <w:b/>
          <w:color w:val="auto"/>
        </w:rPr>
        <w:t>Guidance Notes</w:t>
      </w:r>
    </w:p>
    <w:p w14:paraId="54076B8E" w14:textId="77777777" w:rsidR="00D21578" w:rsidRDefault="00D21578" w:rsidP="00D21578"/>
    <w:p w14:paraId="3BB616FB" w14:textId="77777777" w:rsidR="00D21578" w:rsidRDefault="00D21578" w:rsidP="00D21578"/>
    <w:p w14:paraId="539C6057" w14:textId="77777777" w:rsidR="00D21578" w:rsidRDefault="00D21578" w:rsidP="00D21578">
      <w:pPr>
        <w:rPr>
          <w:rFonts w:ascii="Calibri"/>
        </w:rPr>
      </w:pPr>
      <w:r w:rsidRPr="00E22D00">
        <w:rPr>
          <w:rFonts w:ascii="Calibri"/>
        </w:rPr>
        <w:t xml:space="preserve">The </w:t>
      </w:r>
      <w:r>
        <w:rPr>
          <w:rFonts w:ascii="Calibri"/>
        </w:rPr>
        <w:t>Board of Trustees</w:t>
      </w:r>
      <w:r w:rsidRPr="00E22D00">
        <w:rPr>
          <w:rFonts w:ascii="Calibri"/>
        </w:rPr>
        <w:t xml:space="preserve"> of the Socio-Legal Studies Association has </w:t>
      </w:r>
      <w:r>
        <w:rPr>
          <w:rFonts w:ascii="Calibri"/>
        </w:rPr>
        <w:t>created a prize to recognize and celebrate excellent impact resulting from socio-legal research (‘SLSA Impact Prize’). The prize will be awarded pursuant to an annual competition, which will be run in accordance with these guidance notes.</w:t>
      </w:r>
    </w:p>
    <w:p w14:paraId="3128DC8C" w14:textId="77777777" w:rsidR="00D21578" w:rsidRDefault="00D21578" w:rsidP="00D21578">
      <w:pPr>
        <w:pStyle w:val="NormalWeb"/>
        <w:jc w:val="both"/>
      </w:pPr>
      <w:r w:rsidRPr="003F437F">
        <w:rPr>
          <w:rFonts w:ascii="Calibri"/>
          <w:b/>
          <w:bCs/>
        </w:rPr>
        <w:t>Definition</w:t>
      </w:r>
      <w:r>
        <w:rPr>
          <w:rFonts w:ascii="Calibri"/>
        </w:rPr>
        <w:t xml:space="preserve">:  </w:t>
      </w:r>
      <w:r w:rsidRPr="002F7B61">
        <w:rPr>
          <w:rFonts w:asciiTheme="minorHAnsi" w:hAnsiTheme="minorHAnsi" w:cstheme="minorHAnsi"/>
          <w:sz w:val="22"/>
          <w:szCs w:val="22"/>
        </w:rPr>
        <w:t>I</w:t>
      </w:r>
      <w:r w:rsidRPr="002F7B61">
        <w:rPr>
          <w:rStyle w:val="cf01"/>
          <w:rFonts w:asciiTheme="minorHAnsi" w:hAnsiTheme="minorHAnsi" w:cstheme="minorHAnsi"/>
          <w:sz w:val="22"/>
          <w:szCs w:val="22"/>
        </w:rPr>
        <w:t>mpact is defined for these purposes in a similar way to that used in the Research Excellence Framework (REF).</w:t>
      </w:r>
      <w:r w:rsidRPr="002F7B61">
        <w:rPr>
          <w:rFonts w:asciiTheme="minorHAnsi" w:hAnsiTheme="minorHAnsi" w:cstheme="minorHAnsi"/>
          <w:sz w:val="22"/>
          <w:szCs w:val="22"/>
        </w:rPr>
        <w:t xml:space="preserve"> Specifically, it includes, but is not limited to, an effect on, change or benefit to:</w:t>
      </w:r>
    </w:p>
    <w:p w14:paraId="07A1B2C4" w14:textId="77777777" w:rsidR="00D21578" w:rsidRDefault="00D21578" w:rsidP="00D21578">
      <w:pPr>
        <w:pStyle w:val="ListParagraph"/>
        <w:numPr>
          <w:ilvl w:val="0"/>
          <w:numId w:val="1"/>
        </w:numPr>
      </w:pPr>
      <w:r>
        <w:t xml:space="preserve">the activity, attitude, awareness, behaviour, capacity, opportunity, performance, policy, practice, process or understanding </w:t>
      </w:r>
    </w:p>
    <w:p w14:paraId="6153BCC1" w14:textId="77777777" w:rsidR="00D21578" w:rsidRDefault="00D21578" w:rsidP="00D21578">
      <w:pPr>
        <w:pStyle w:val="ListParagraph"/>
        <w:numPr>
          <w:ilvl w:val="0"/>
          <w:numId w:val="1"/>
        </w:numPr>
      </w:pPr>
      <w:r>
        <w:t>of an audience, beneficiary, community, constituency, organisation or individuals</w:t>
      </w:r>
    </w:p>
    <w:p w14:paraId="647D10C0" w14:textId="77777777" w:rsidR="00D21578" w:rsidRDefault="00D21578" w:rsidP="00D21578">
      <w:pPr>
        <w:pStyle w:val="ListParagraph"/>
        <w:numPr>
          <w:ilvl w:val="0"/>
          <w:numId w:val="1"/>
        </w:numPr>
      </w:pPr>
      <w:r>
        <w:t>in any geographic location whether locally, regionally, nationally or internationally.</w:t>
      </w:r>
    </w:p>
    <w:p w14:paraId="2CF89162" w14:textId="77777777" w:rsidR="00D21578" w:rsidRDefault="00D21578" w:rsidP="00D21578">
      <w:r>
        <w:t>It also includes the reduction or prevention of harm, risk, cost or other negative effects. Impacts on students, teaching or other activities in HEIs are also included.</w:t>
      </w:r>
    </w:p>
    <w:p w14:paraId="56EE2B33" w14:textId="77777777" w:rsidR="00D21578" w:rsidRPr="007174C9" w:rsidRDefault="00D21578" w:rsidP="00D21578">
      <w:r w:rsidRPr="003F437F">
        <w:rPr>
          <w:b/>
          <w:bCs/>
        </w:rPr>
        <w:t>Eligibility</w:t>
      </w:r>
      <w:r>
        <w:t xml:space="preserve">: </w:t>
      </w:r>
      <w:bookmarkStart w:id="2" w:name="_Hlk93680755"/>
      <w:r>
        <w:t xml:space="preserve">All current SLSA members, including PGR members, are eligible to nominate themselves or others using the SLSA Impact Prize Nomination Form. Nominees must be based at a UK higher education </w:t>
      </w:r>
      <w:proofErr w:type="gramStart"/>
      <w:r>
        <w:t>institution, but</w:t>
      </w:r>
      <w:proofErr w:type="gramEnd"/>
      <w:r>
        <w:t xml:space="preserve"> need not be SLSA members. </w:t>
      </w:r>
      <w:r w:rsidRPr="002F6F19">
        <w:rPr>
          <w:rFonts w:ascii="Calibri"/>
        </w:rPr>
        <w:t>Members of the SLSA Board of Trustees are ineligible to</w:t>
      </w:r>
      <w:r>
        <w:rPr>
          <w:rFonts w:ascii="Calibri"/>
        </w:rPr>
        <w:t xml:space="preserve"> nominate or be nominated.</w:t>
      </w:r>
      <w:bookmarkEnd w:id="2"/>
    </w:p>
    <w:p w14:paraId="09FC3220" w14:textId="77777777" w:rsidR="00D21578" w:rsidRDefault="00D21578" w:rsidP="00D21578">
      <w:r w:rsidRPr="003F437F">
        <w:rPr>
          <w:b/>
          <w:bCs/>
        </w:rPr>
        <w:t>Award</w:t>
      </w:r>
      <w:r>
        <w:t>: The total prize fund is £250 per year. A single award will be made. Where impact has been achieved as a result of jointly published work, the research group or co-authors may be nominated as a single group. If successful the prize will be evenly divided between those named on the nomination form, unless an alternative approach is specifically requested. Where the SLSA Board of Trustees are of the view that no nomination reaches the required standard, no award will be made.</w:t>
      </w:r>
    </w:p>
    <w:p w14:paraId="2B1BAD00" w14:textId="77777777" w:rsidR="00D21578" w:rsidRDefault="00D21578" w:rsidP="00D21578">
      <w:r w:rsidRPr="0094654E">
        <w:rPr>
          <w:b/>
          <w:bCs/>
        </w:rPr>
        <w:t>Criteria</w:t>
      </w:r>
      <w:r>
        <w:t xml:space="preserve">: </w:t>
      </w:r>
    </w:p>
    <w:p w14:paraId="5FC89564" w14:textId="77777777" w:rsidR="00D21578" w:rsidRDefault="00D21578" w:rsidP="00D21578">
      <w:pPr>
        <w:pStyle w:val="ListParagraph"/>
        <w:numPr>
          <w:ilvl w:val="0"/>
          <w:numId w:val="2"/>
        </w:numPr>
      </w:pPr>
      <w:r>
        <w:t>Nominations will be</w:t>
      </w:r>
      <w:r w:rsidRPr="00214EA0">
        <w:t xml:space="preserve"> judged</w:t>
      </w:r>
      <w:r>
        <w:t xml:space="preserve"> with reference to the </w:t>
      </w:r>
      <w:r w:rsidRPr="00214EA0">
        <w:rPr>
          <w:b/>
          <w:bCs/>
        </w:rPr>
        <w:t>reach and significance</w:t>
      </w:r>
      <w:r>
        <w:t xml:space="preserve"> of impacts on the economy, society, culture, public policy or services, health, the environment or quality of life. Generic examples of relevant impacts are provided in REF 2021, </w:t>
      </w:r>
      <w:r w:rsidRPr="00F34B05">
        <w:rPr>
          <w:i/>
          <w:iCs/>
        </w:rPr>
        <w:t>Panel Criteria and Working Methods (Annex A)</w:t>
      </w:r>
      <w:r>
        <w:t xml:space="preserve">, </w:t>
      </w:r>
      <w:hyperlink r:id="rId7" w:history="1">
        <w:r w:rsidRPr="00585822">
          <w:rPr>
            <w:rStyle w:val="Hyperlink"/>
          </w:rPr>
          <w:t>pp.77-89</w:t>
        </w:r>
      </w:hyperlink>
      <w:r>
        <w:t xml:space="preserve"> </w:t>
      </w:r>
    </w:p>
    <w:p w14:paraId="2D18069B" w14:textId="77777777" w:rsidR="00D21578" w:rsidRDefault="00D21578" w:rsidP="00D21578">
      <w:pPr>
        <w:pStyle w:val="ListParagraph"/>
        <w:numPr>
          <w:ilvl w:val="0"/>
          <w:numId w:val="2"/>
        </w:numPr>
      </w:pPr>
      <w:r>
        <w:t xml:space="preserve">Impacts must be generated by </w:t>
      </w:r>
      <w:r w:rsidRPr="00B11D0D">
        <w:rPr>
          <w:b/>
          <w:bCs/>
        </w:rPr>
        <w:t>socio-legal research</w:t>
      </w:r>
      <w:r>
        <w:t>, including any or a combination of the following: quantitative or qualitative empirical methods; law and humanities approaches; the range of critical theory. Doctrinal legal research may form part of a wider socio-legal research project, but only a part.</w:t>
      </w:r>
    </w:p>
    <w:p w14:paraId="0DC223A8" w14:textId="77777777" w:rsidR="00D21578" w:rsidRDefault="00D21578" w:rsidP="00D21578">
      <w:pPr>
        <w:pStyle w:val="ListParagraph"/>
        <w:numPr>
          <w:ilvl w:val="0"/>
          <w:numId w:val="2"/>
        </w:numPr>
      </w:pPr>
      <w:r>
        <w:t xml:space="preserve">The socio-legal research which generated the impact will have been </w:t>
      </w:r>
      <w:r w:rsidRPr="00B11D0D">
        <w:rPr>
          <w:b/>
          <w:bCs/>
        </w:rPr>
        <w:t>published</w:t>
      </w:r>
      <w:r>
        <w:t xml:space="preserve"> at any point prior to the nomination deadline. Publication must have been in the form of a book, book </w:t>
      </w:r>
      <w:r>
        <w:lastRenderedPageBreak/>
        <w:t>chapter, article, report or blog post. Aspects of the research may have been published as more than one output.</w:t>
      </w:r>
    </w:p>
    <w:p w14:paraId="6BDE921C" w14:textId="77777777" w:rsidR="00D21578" w:rsidRDefault="00D21578" w:rsidP="00D21578">
      <w:pPr>
        <w:pStyle w:val="ListParagraph"/>
        <w:numPr>
          <w:ilvl w:val="0"/>
          <w:numId w:val="2"/>
        </w:numPr>
      </w:pPr>
      <w:r>
        <w:t xml:space="preserve">Impacts must be </w:t>
      </w:r>
      <w:r w:rsidRPr="00B11D0D">
        <w:rPr>
          <w:b/>
          <w:bCs/>
        </w:rPr>
        <w:t>corroborated</w:t>
      </w:r>
      <w:r>
        <w:t xml:space="preserve"> by sources independent of published research. These can include links to reports, media or testimony in the form of letters from external research users.</w:t>
      </w:r>
    </w:p>
    <w:p w14:paraId="54983135" w14:textId="43F7D169" w:rsidR="00D21578" w:rsidRDefault="00D21578" w:rsidP="00D21578">
      <w:r w:rsidRPr="003F437F">
        <w:rPr>
          <w:b/>
          <w:bCs/>
        </w:rPr>
        <w:t>Decision</w:t>
      </w:r>
      <w:r>
        <w:t xml:space="preserve">: The outcome of the competition will be determined by the SLSA Board of Trustees on the basis of a shortlist </w:t>
      </w:r>
      <w:r w:rsidR="00365953">
        <w:t>that will be published</w:t>
      </w:r>
      <w:r>
        <w:t>. All shortlisted nominees will be required to attend the SLSA Annual Conference at which the winner will be announced. No individual feedback will be provided.</w:t>
      </w:r>
    </w:p>
    <w:p w14:paraId="6DA4B3F7" w14:textId="77777777" w:rsidR="00D21578" w:rsidRDefault="00D21578" w:rsidP="00D21578">
      <w:r>
        <w:rPr>
          <w:b/>
          <w:bCs/>
        </w:rPr>
        <w:t>Deadline</w:t>
      </w:r>
      <w:r>
        <w:t xml:space="preserve">: The closing date for nominations is </w:t>
      </w:r>
      <w:r w:rsidRPr="00512467">
        <w:rPr>
          <w:b/>
          <w:bCs/>
        </w:rPr>
        <w:t>1</w:t>
      </w:r>
      <w:r w:rsidRPr="00512467">
        <w:rPr>
          <w:b/>
          <w:bCs/>
          <w:vertAlign w:val="superscript"/>
        </w:rPr>
        <w:t>st</w:t>
      </w:r>
      <w:r w:rsidRPr="00512467">
        <w:rPr>
          <w:b/>
          <w:bCs/>
        </w:rPr>
        <w:t xml:space="preserve"> November</w:t>
      </w:r>
      <w:r>
        <w:t xml:space="preserve"> in the year preceding the SLSA Annual conference.</w:t>
      </w:r>
      <w:r w:rsidRPr="00B23A40">
        <w:t xml:space="preserve"> </w:t>
      </w:r>
      <w:r>
        <w:t>The relevant impact should have been achieved within the 12-month period up to 30</w:t>
      </w:r>
      <w:r w:rsidRPr="00B23A40">
        <w:rPr>
          <w:vertAlign w:val="superscript"/>
        </w:rPr>
        <w:t>th</w:t>
      </w:r>
      <w:r>
        <w:t xml:space="preserve"> September of that year. </w:t>
      </w:r>
    </w:p>
    <w:p w14:paraId="6298F248" w14:textId="77777777" w:rsidR="00D21578" w:rsidRDefault="00D21578" w:rsidP="00D21578">
      <w:r w:rsidRPr="007174C9">
        <w:rPr>
          <w:b/>
          <w:bCs/>
        </w:rPr>
        <w:t>Publicity</w:t>
      </w:r>
      <w:r>
        <w:t xml:space="preserve">: Shortlisted nominees and prize winners will be requested to contribute to a short video about their impact work for the SLSA YouTube channel, and to a short report for publication in the SLSA Newsletter. </w:t>
      </w:r>
    </w:p>
    <w:p w14:paraId="20938F32" w14:textId="65296868" w:rsidR="00D21578" w:rsidRDefault="00D21578" w:rsidP="00D21578">
      <w:pPr>
        <w:rPr>
          <w:rFonts w:ascii="Calibri"/>
        </w:rPr>
      </w:pPr>
      <w:r w:rsidRPr="007174C9">
        <w:rPr>
          <w:b/>
          <w:bCs/>
        </w:rPr>
        <w:t>Reporting</w:t>
      </w:r>
      <w:r>
        <w:t xml:space="preserve">: The </w:t>
      </w:r>
      <w:r w:rsidR="008C68B7">
        <w:t>SLSA Board</w:t>
      </w:r>
      <w:r>
        <w:t xml:space="preserve"> </w:t>
      </w:r>
      <w:r w:rsidRPr="00E22D00">
        <w:rPr>
          <w:rFonts w:ascii="Calibri"/>
        </w:rPr>
        <w:t xml:space="preserve">will </w:t>
      </w:r>
      <w:r w:rsidR="008C68B7">
        <w:rPr>
          <w:rFonts w:ascii="Calibri"/>
        </w:rPr>
        <w:t xml:space="preserve">include a summary report with details </w:t>
      </w:r>
      <w:r w:rsidRPr="00E22D00">
        <w:rPr>
          <w:rFonts w:ascii="Calibri"/>
        </w:rPr>
        <w:t xml:space="preserve">about the number and quality of </w:t>
      </w:r>
      <w:r>
        <w:rPr>
          <w:rFonts w:ascii="Calibri"/>
        </w:rPr>
        <w:t>nominations, and the decision-making process, with advice on future Impact Prize competitions in the Trustees Annual Report.</w:t>
      </w:r>
    </w:p>
    <w:p w14:paraId="57E93F3D" w14:textId="77777777" w:rsidR="00D21578" w:rsidRDefault="00D21578" w:rsidP="00D21578">
      <w:pPr>
        <w:rPr>
          <w:rFonts w:ascii="Calibri"/>
        </w:rPr>
      </w:pPr>
    </w:p>
    <w:p w14:paraId="2A2BEB57" w14:textId="77777777" w:rsidR="00D21578" w:rsidRDefault="00D21578" w:rsidP="00D21578">
      <w:pPr>
        <w:rPr>
          <w:rFonts w:ascii="Calibri"/>
        </w:rPr>
      </w:pPr>
    </w:p>
    <w:p w14:paraId="71F03CD2" w14:textId="15437256" w:rsidR="00D21578" w:rsidRPr="00595F3D" w:rsidRDefault="00D21578" w:rsidP="00D21578">
      <w:pPr>
        <w:jc w:val="right"/>
        <w:rPr>
          <w:b/>
          <w:bCs/>
        </w:rPr>
      </w:pPr>
      <w:r w:rsidRPr="00595F3D">
        <w:rPr>
          <w:rFonts w:ascii="Calibri"/>
          <w:b/>
          <w:bCs/>
        </w:rPr>
        <w:t xml:space="preserve">SLSA </w:t>
      </w:r>
      <w:r w:rsidR="008C68B7">
        <w:rPr>
          <w:rFonts w:ascii="Calibri"/>
          <w:b/>
          <w:bCs/>
        </w:rPr>
        <w:t>Board, January 2022</w:t>
      </w:r>
    </w:p>
    <w:p w14:paraId="285A4ACA" w14:textId="77777777" w:rsidR="00D21578" w:rsidRDefault="00D21578" w:rsidP="00D21578"/>
    <w:p w14:paraId="2AF3DCA9" w14:textId="77777777" w:rsidR="00D21578" w:rsidRDefault="00D21578" w:rsidP="00D21578">
      <w:pPr>
        <w:rPr>
          <w:rFonts w:ascii="Calibri"/>
          <w:b/>
          <w:bCs/>
          <w:sz w:val="28"/>
          <w:szCs w:val="28"/>
        </w:rPr>
      </w:pPr>
    </w:p>
    <w:p w14:paraId="6864F87D" w14:textId="77777777" w:rsidR="00D21578" w:rsidRDefault="00D21578" w:rsidP="00D21578"/>
    <w:p w14:paraId="4280FD9B" w14:textId="77777777" w:rsidR="000E4946" w:rsidRDefault="007C111B" w:rsidP="000E4946">
      <w:pPr>
        <w:spacing w:line="259" w:lineRule="auto"/>
        <w:jc w:val="center"/>
        <w:rPr>
          <w:b/>
          <w:bCs/>
          <w:noProof/>
          <w:color w:val="000000" w:themeColor="text1"/>
          <w:sz w:val="56"/>
          <w:szCs w:val="56"/>
        </w:rPr>
      </w:pPr>
      <w:r>
        <w:br w:type="page"/>
      </w:r>
      <w:r w:rsidR="000E4946" w:rsidRPr="00923DFC">
        <w:rPr>
          <w:b/>
          <w:bCs/>
          <w:noProof/>
          <w:color w:val="000000" w:themeColor="text1"/>
          <w:sz w:val="56"/>
          <w:szCs w:val="56"/>
        </w:rPr>
        <w:lastRenderedPageBreak/>
        <w:t>Impact Prize</w:t>
      </w:r>
    </w:p>
    <w:p w14:paraId="0635E7B9" w14:textId="2D662407" w:rsidR="000E4946" w:rsidRPr="000E4946" w:rsidRDefault="000E4946" w:rsidP="000E4946">
      <w:pPr>
        <w:spacing w:line="259" w:lineRule="auto"/>
        <w:jc w:val="center"/>
      </w:pPr>
      <w:r w:rsidRPr="00923DFC">
        <w:rPr>
          <w:b/>
          <w:bCs/>
          <w:noProof/>
          <w:color w:val="000000" w:themeColor="text1"/>
          <w:sz w:val="40"/>
          <w:szCs w:val="40"/>
        </w:rPr>
        <w:t>Nomination Form</w:t>
      </w:r>
    </w:p>
    <w:p w14:paraId="6800AAD3" w14:textId="77777777" w:rsidR="000E4946" w:rsidRPr="00C01D78" w:rsidRDefault="000E4946" w:rsidP="000E4946">
      <w:pPr>
        <w:rPr>
          <w:rFonts w:ascii="Calibri" w:hAnsi="Calibri" w:cs="Calibri"/>
          <w:b/>
          <w:bCs/>
        </w:rPr>
      </w:pPr>
      <w:r w:rsidRPr="00C01D78">
        <w:rPr>
          <w:rFonts w:ascii="Calibri" w:hAnsi="Calibri" w:cs="Calibri"/>
          <w:b/>
          <w:bCs/>
        </w:rPr>
        <w:t>Please read the Guidance for the SLSA Impact Prize competition carefully before completing this form.</w:t>
      </w: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908"/>
        <w:gridCol w:w="2884"/>
      </w:tblGrid>
      <w:tr w:rsidR="00C61ABB" w:rsidRPr="00970AE7" w14:paraId="374718A9" w14:textId="77777777" w:rsidTr="00C362CC">
        <w:tc>
          <w:tcPr>
            <w:tcW w:w="5000" w:type="pct"/>
            <w:gridSpan w:val="3"/>
          </w:tcPr>
          <w:p w14:paraId="13DCF16A" w14:textId="77777777" w:rsidR="00C61ABB" w:rsidRDefault="00C61ABB" w:rsidP="00C362CC">
            <w:pPr>
              <w:spacing w:after="120"/>
              <w:rPr>
                <w:rFonts w:asciiTheme="majorHAnsi" w:hAnsiTheme="majorHAnsi" w:cstheme="majorHAnsi"/>
                <w:b/>
              </w:rPr>
            </w:pPr>
            <w:r>
              <w:rPr>
                <w:rFonts w:asciiTheme="majorHAnsi" w:hAnsiTheme="majorHAnsi" w:cstheme="majorHAnsi"/>
                <w:b/>
              </w:rPr>
              <w:t>Name of nominating SLSA member</w:t>
            </w:r>
            <w:r w:rsidRPr="00970AE7">
              <w:rPr>
                <w:rFonts w:asciiTheme="majorHAnsi" w:hAnsiTheme="majorHAnsi" w:cstheme="majorHAnsi"/>
                <w:b/>
              </w:rPr>
              <w:t xml:space="preserve">: </w:t>
            </w:r>
          </w:p>
          <w:p w14:paraId="1E261D84" w14:textId="77777777" w:rsidR="00C61ABB" w:rsidRPr="00970AE7" w:rsidRDefault="00C61ABB" w:rsidP="00C362CC">
            <w:pPr>
              <w:spacing w:after="120"/>
              <w:rPr>
                <w:rFonts w:asciiTheme="majorHAnsi" w:hAnsiTheme="majorHAnsi" w:cstheme="majorHAnsi"/>
                <w:b/>
              </w:rPr>
            </w:pPr>
          </w:p>
        </w:tc>
      </w:tr>
      <w:tr w:rsidR="00C61ABB" w:rsidRPr="00970AE7" w14:paraId="6D31EBB8" w14:textId="77777777" w:rsidTr="00C362CC">
        <w:tc>
          <w:tcPr>
            <w:tcW w:w="5000" w:type="pct"/>
            <w:gridSpan w:val="3"/>
          </w:tcPr>
          <w:p w14:paraId="3D89DEB7" w14:textId="77777777" w:rsidR="00C61ABB" w:rsidRPr="00970AE7" w:rsidRDefault="00C61ABB" w:rsidP="00C362CC">
            <w:pPr>
              <w:spacing w:after="120"/>
              <w:rPr>
                <w:rFonts w:asciiTheme="majorHAnsi" w:hAnsiTheme="majorHAnsi" w:cstheme="majorHAnsi"/>
                <w:b/>
              </w:rPr>
            </w:pPr>
            <w:r w:rsidRPr="00970AE7">
              <w:rPr>
                <w:rFonts w:asciiTheme="majorHAnsi" w:hAnsiTheme="majorHAnsi" w:cstheme="majorHAnsi"/>
                <w:b/>
              </w:rPr>
              <w:t xml:space="preserve">Details of </w:t>
            </w:r>
            <w:r>
              <w:rPr>
                <w:rFonts w:asciiTheme="majorHAnsi" w:hAnsiTheme="majorHAnsi" w:cstheme="majorHAnsi"/>
                <w:b/>
              </w:rPr>
              <w:t>nominee(s)</w:t>
            </w:r>
          </w:p>
        </w:tc>
      </w:tr>
      <w:tr w:rsidR="00C61ABB" w:rsidRPr="00970AE7" w14:paraId="06E63621" w14:textId="77777777" w:rsidTr="00C362CC">
        <w:tc>
          <w:tcPr>
            <w:tcW w:w="1072" w:type="pct"/>
          </w:tcPr>
          <w:p w14:paraId="2F2CD87F" w14:textId="77777777" w:rsidR="00C61ABB" w:rsidRPr="00970AE7" w:rsidRDefault="00C61ABB" w:rsidP="00C362CC">
            <w:pPr>
              <w:rPr>
                <w:rFonts w:asciiTheme="majorHAnsi" w:hAnsiTheme="majorHAnsi" w:cstheme="majorHAnsi"/>
                <w:b/>
              </w:rPr>
            </w:pPr>
            <w:r w:rsidRPr="00970AE7">
              <w:rPr>
                <w:rFonts w:asciiTheme="majorHAnsi" w:hAnsiTheme="majorHAnsi" w:cstheme="majorHAnsi"/>
                <w:b/>
              </w:rPr>
              <w:t>Name(s):</w:t>
            </w:r>
          </w:p>
          <w:p w14:paraId="667A5447" w14:textId="77777777" w:rsidR="00C61ABB" w:rsidRPr="00970AE7" w:rsidRDefault="00C61ABB" w:rsidP="00C362CC">
            <w:pPr>
              <w:rPr>
                <w:rFonts w:asciiTheme="majorHAnsi" w:hAnsiTheme="majorHAnsi" w:cstheme="majorHAnsi"/>
                <w:bCs/>
              </w:rPr>
            </w:pPr>
          </w:p>
          <w:p w14:paraId="7E002751" w14:textId="77777777" w:rsidR="00C61ABB" w:rsidRPr="00970AE7" w:rsidRDefault="00C61ABB" w:rsidP="00C362CC">
            <w:pPr>
              <w:spacing w:after="120"/>
              <w:rPr>
                <w:rFonts w:asciiTheme="majorHAnsi" w:hAnsiTheme="majorHAnsi" w:cstheme="majorHAnsi"/>
                <w:bCs/>
              </w:rPr>
            </w:pPr>
          </w:p>
        </w:tc>
        <w:tc>
          <w:tcPr>
            <w:tcW w:w="2260" w:type="pct"/>
          </w:tcPr>
          <w:p w14:paraId="66F15478" w14:textId="77777777" w:rsidR="00C61ABB" w:rsidRPr="00970AE7" w:rsidRDefault="00C61ABB" w:rsidP="00C362CC">
            <w:pPr>
              <w:rPr>
                <w:rFonts w:asciiTheme="majorHAnsi" w:hAnsiTheme="majorHAnsi" w:cstheme="majorHAnsi"/>
                <w:b/>
              </w:rPr>
            </w:pPr>
            <w:r w:rsidRPr="00970AE7">
              <w:rPr>
                <w:rFonts w:asciiTheme="majorHAnsi" w:hAnsiTheme="majorHAnsi" w:cstheme="majorHAnsi"/>
                <w:b/>
              </w:rPr>
              <w:t>Career stage (</w:t>
            </w:r>
            <w:proofErr w:type="spellStart"/>
            <w:r w:rsidRPr="00970AE7">
              <w:rPr>
                <w:rFonts w:asciiTheme="majorHAnsi" w:hAnsiTheme="majorHAnsi" w:cstheme="majorHAnsi"/>
                <w:b/>
              </w:rPr>
              <w:t>eg</w:t>
            </w:r>
            <w:r>
              <w:rPr>
                <w:rFonts w:asciiTheme="majorHAnsi" w:hAnsiTheme="majorHAnsi" w:cstheme="majorHAnsi"/>
                <w:b/>
              </w:rPr>
              <w:t>.</w:t>
            </w:r>
            <w:proofErr w:type="spellEnd"/>
            <w:r w:rsidRPr="00970AE7">
              <w:rPr>
                <w:rFonts w:asciiTheme="majorHAnsi" w:hAnsiTheme="majorHAnsi" w:cstheme="majorHAnsi"/>
                <w:b/>
              </w:rPr>
              <w:t xml:space="preserve"> ECR; mid-career</w:t>
            </w:r>
            <w:r>
              <w:rPr>
                <w:rFonts w:asciiTheme="majorHAnsi" w:hAnsiTheme="majorHAnsi" w:cstheme="majorHAnsi"/>
                <w:b/>
              </w:rPr>
              <w:t xml:space="preserve"> etc)</w:t>
            </w:r>
            <w:r w:rsidRPr="00970AE7">
              <w:rPr>
                <w:rFonts w:asciiTheme="majorHAnsi" w:hAnsiTheme="majorHAnsi" w:cstheme="majorHAnsi"/>
                <w:b/>
              </w:rPr>
              <w:t>:</w:t>
            </w:r>
          </w:p>
          <w:p w14:paraId="53427E26" w14:textId="77777777" w:rsidR="00C61ABB" w:rsidRPr="00970AE7" w:rsidRDefault="00C61ABB" w:rsidP="00C362CC">
            <w:pPr>
              <w:rPr>
                <w:rFonts w:asciiTheme="majorHAnsi" w:hAnsiTheme="majorHAnsi" w:cstheme="majorHAnsi"/>
                <w:b/>
              </w:rPr>
            </w:pPr>
          </w:p>
          <w:p w14:paraId="38EE49A1" w14:textId="77777777" w:rsidR="00C61ABB" w:rsidRPr="00970AE7" w:rsidRDefault="00C61ABB" w:rsidP="00C362CC">
            <w:pPr>
              <w:rPr>
                <w:rFonts w:asciiTheme="majorHAnsi" w:hAnsiTheme="majorHAnsi" w:cstheme="majorHAnsi"/>
                <w:bCs/>
              </w:rPr>
            </w:pPr>
            <w:r w:rsidRPr="00970AE7">
              <w:rPr>
                <w:rFonts w:asciiTheme="majorHAnsi" w:hAnsiTheme="majorHAnsi" w:cstheme="majorHAnsi"/>
                <w:bCs/>
              </w:rPr>
              <w:t xml:space="preserve"> </w:t>
            </w:r>
          </w:p>
        </w:tc>
        <w:tc>
          <w:tcPr>
            <w:tcW w:w="1668" w:type="pct"/>
          </w:tcPr>
          <w:p w14:paraId="288B6674" w14:textId="77777777" w:rsidR="00C61ABB" w:rsidRPr="00970AE7" w:rsidRDefault="00C61ABB" w:rsidP="00C362CC">
            <w:pPr>
              <w:rPr>
                <w:rFonts w:asciiTheme="majorHAnsi" w:hAnsiTheme="majorHAnsi" w:cstheme="majorHAnsi"/>
                <w:b/>
              </w:rPr>
            </w:pPr>
            <w:r w:rsidRPr="00970AE7">
              <w:rPr>
                <w:rFonts w:asciiTheme="majorHAnsi" w:hAnsiTheme="majorHAnsi" w:cstheme="majorHAnsi"/>
                <w:b/>
              </w:rPr>
              <w:t>Institution</w:t>
            </w:r>
            <w:r>
              <w:rPr>
                <w:rFonts w:asciiTheme="majorHAnsi" w:hAnsiTheme="majorHAnsi" w:cstheme="majorHAnsi"/>
                <w:b/>
              </w:rPr>
              <w:t>:</w:t>
            </w:r>
          </w:p>
        </w:tc>
      </w:tr>
      <w:tr w:rsidR="00C61ABB" w:rsidRPr="00970AE7" w14:paraId="365ABFC5" w14:textId="77777777" w:rsidTr="00C362CC">
        <w:tc>
          <w:tcPr>
            <w:tcW w:w="5000" w:type="pct"/>
            <w:gridSpan w:val="3"/>
          </w:tcPr>
          <w:p w14:paraId="48B73620" w14:textId="77777777" w:rsidR="00C61ABB" w:rsidRDefault="00C61ABB" w:rsidP="00C362CC">
            <w:pPr>
              <w:spacing w:after="120"/>
              <w:rPr>
                <w:rFonts w:asciiTheme="majorHAnsi" w:hAnsiTheme="majorHAnsi" w:cstheme="majorHAnsi"/>
                <w:b/>
              </w:rPr>
            </w:pPr>
            <w:r w:rsidRPr="00970AE7">
              <w:rPr>
                <w:rFonts w:asciiTheme="majorHAnsi" w:hAnsiTheme="majorHAnsi" w:cstheme="majorHAnsi"/>
                <w:b/>
              </w:rPr>
              <w:t xml:space="preserve">Title </w:t>
            </w:r>
            <w:proofErr w:type="gramStart"/>
            <w:r w:rsidRPr="00970AE7">
              <w:rPr>
                <w:rFonts w:asciiTheme="majorHAnsi" w:hAnsiTheme="majorHAnsi" w:cstheme="majorHAnsi"/>
                <w:b/>
              </w:rPr>
              <w:t xml:space="preserve">of </w:t>
            </w:r>
            <w:r>
              <w:rPr>
                <w:rFonts w:asciiTheme="majorHAnsi" w:hAnsiTheme="majorHAnsi" w:cstheme="majorHAnsi"/>
                <w:b/>
              </w:rPr>
              <w:t xml:space="preserve"> impact</w:t>
            </w:r>
            <w:proofErr w:type="gramEnd"/>
            <w:r>
              <w:rPr>
                <w:rFonts w:asciiTheme="majorHAnsi" w:hAnsiTheme="majorHAnsi" w:cstheme="majorHAnsi"/>
                <w:b/>
              </w:rPr>
              <w:t xml:space="preserve"> project</w:t>
            </w:r>
            <w:r w:rsidRPr="00970AE7">
              <w:rPr>
                <w:rFonts w:asciiTheme="majorHAnsi" w:hAnsiTheme="majorHAnsi" w:cstheme="majorHAnsi"/>
                <w:b/>
              </w:rPr>
              <w:t>:</w:t>
            </w:r>
          </w:p>
          <w:p w14:paraId="37A454EC" w14:textId="77777777" w:rsidR="00C61ABB" w:rsidRPr="00970AE7" w:rsidRDefault="00C61ABB" w:rsidP="00C362CC">
            <w:pPr>
              <w:spacing w:after="120"/>
              <w:rPr>
                <w:rFonts w:asciiTheme="majorHAnsi" w:hAnsiTheme="majorHAnsi" w:cstheme="majorHAnsi"/>
                <w:bCs/>
              </w:rPr>
            </w:pPr>
          </w:p>
        </w:tc>
      </w:tr>
      <w:tr w:rsidR="00C61ABB" w:rsidRPr="00970AE7" w14:paraId="7F5848D3" w14:textId="77777777" w:rsidTr="00C362CC">
        <w:tc>
          <w:tcPr>
            <w:tcW w:w="5000" w:type="pct"/>
            <w:gridSpan w:val="3"/>
          </w:tcPr>
          <w:p w14:paraId="527BC0D5" w14:textId="77777777" w:rsidR="00C61ABB" w:rsidRDefault="00C61ABB" w:rsidP="00C362CC">
            <w:pPr>
              <w:spacing w:after="120"/>
              <w:rPr>
                <w:rFonts w:asciiTheme="majorHAnsi" w:hAnsiTheme="majorHAnsi" w:cstheme="majorHAnsi"/>
                <w:b/>
              </w:rPr>
            </w:pPr>
            <w:r>
              <w:rPr>
                <w:rFonts w:asciiTheme="majorHAnsi" w:hAnsiTheme="majorHAnsi" w:cstheme="majorHAnsi"/>
                <w:b/>
              </w:rPr>
              <w:t>Date(s) of publication of underpinning socio-legal research</w:t>
            </w:r>
            <w:r w:rsidRPr="00970AE7">
              <w:rPr>
                <w:rFonts w:asciiTheme="majorHAnsi" w:hAnsiTheme="majorHAnsi" w:cstheme="majorHAnsi"/>
                <w:b/>
              </w:rPr>
              <w:t>:</w:t>
            </w:r>
          </w:p>
          <w:p w14:paraId="70A1842B" w14:textId="77777777" w:rsidR="00C61ABB" w:rsidRPr="00970AE7" w:rsidRDefault="00C61ABB" w:rsidP="00C362CC">
            <w:pPr>
              <w:spacing w:after="120"/>
              <w:rPr>
                <w:rFonts w:asciiTheme="majorHAnsi" w:hAnsiTheme="majorHAnsi" w:cstheme="majorHAnsi"/>
                <w:b/>
              </w:rPr>
            </w:pPr>
          </w:p>
        </w:tc>
      </w:tr>
      <w:tr w:rsidR="00C61ABB" w:rsidRPr="00970AE7" w14:paraId="3702B232" w14:textId="77777777" w:rsidTr="00C362CC">
        <w:tc>
          <w:tcPr>
            <w:tcW w:w="5000" w:type="pct"/>
            <w:gridSpan w:val="3"/>
          </w:tcPr>
          <w:p w14:paraId="78EEB35F" w14:textId="77777777" w:rsidR="00C61ABB" w:rsidRDefault="00C61ABB" w:rsidP="00C362CC">
            <w:pPr>
              <w:spacing w:after="120"/>
              <w:rPr>
                <w:rFonts w:asciiTheme="majorHAnsi" w:hAnsiTheme="majorHAnsi" w:cstheme="majorHAnsi"/>
                <w:b/>
              </w:rPr>
            </w:pPr>
            <w:r w:rsidRPr="00970AE7">
              <w:rPr>
                <w:rFonts w:asciiTheme="majorHAnsi" w:hAnsiTheme="majorHAnsi" w:cstheme="majorHAnsi"/>
                <w:b/>
              </w:rPr>
              <w:t>Period when impact occurred:</w:t>
            </w:r>
          </w:p>
          <w:p w14:paraId="786432ED" w14:textId="77777777" w:rsidR="00C61ABB" w:rsidRPr="00970AE7" w:rsidRDefault="00C61ABB" w:rsidP="00C362CC">
            <w:pPr>
              <w:spacing w:after="120"/>
              <w:rPr>
                <w:rFonts w:asciiTheme="majorHAnsi" w:hAnsiTheme="majorHAnsi" w:cstheme="majorHAnsi"/>
                <w:b/>
              </w:rPr>
            </w:pPr>
          </w:p>
        </w:tc>
      </w:tr>
      <w:tr w:rsidR="00C61ABB" w:rsidRPr="00970AE7" w14:paraId="60A47FB0" w14:textId="77777777" w:rsidTr="00C362CC">
        <w:tc>
          <w:tcPr>
            <w:tcW w:w="5000" w:type="pct"/>
            <w:gridSpan w:val="3"/>
          </w:tcPr>
          <w:p w14:paraId="7D7B0AFE" w14:textId="77777777" w:rsidR="00C61ABB" w:rsidRPr="00970AE7" w:rsidRDefault="00C61ABB" w:rsidP="00C362CC">
            <w:pPr>
              <w:spacing w:after="120"/>
              <w:rPr>
                <w:rFonts w:asciiTheme="majorHAnsi" w:hAnsiTheme="majorHAnsi" w:cstheme="majorHAnsi"/>
              </w:rPr>
            </w:pPr>
            <w:r w:rsidRPr="00970AE7">
              <w:rPr>
                <w:rFonts w:asciiTheme="majorHAnsi" w:hAnsiTheme="majorHAnsi" w:cstheme="majorHAnsi"/>
                <w:b/>
              </w:rPr>
              <w:t>1. Summary</w:t>
            </w:r>
            <w:r>
              <w:rPr>
                <w:rFonts w:asciiTheme="majorHAnsi" w:hAnsiTheme="majorHAnsi" w:cstheme="majorHAnsi"/>
                <w:b/>
              </w:rPr>
              <w:t>: What impact has been achieved?</w:t>
            </w:r>
            <w:r w:rsidRPr="00970AE7">
              <w:rPr>
                <w:rFonts w:asciiTheme="majorHAnsi" w:hAnsiTheme="majorHAnsi" w:cstheme="majorHAnsi"/>
                <w:b/>
              </w:rPr>
              <w:t xml:space="preserve"> </w:t>
            </w:r>
            <w:r w:rsidRPr="00970AE7">
              <w:rPr>
                <w:rFonts w:asciiTheme="majorHAnsi" w:hAnsiTheme="majorHAnsi" w:cstheme="majorHAnsi"/>
              </w:rPr>
              <w:t>(</w:t>
            </w:r>
            <w:r>
              <w:rPr>
                <w:rFonts w:asciiTheme="majorHAnsi" w:hAnsiTheme="majorHAnsi" w:cstheme="majorHAnsi"/>
              </w:rPr>
              <w:t xml:space="preserve">max. </w:t>
            </w:r>
            <w:r w:rsidRPr="00970AE7">
              <w:rPr>
                <w:rFonts w:asciiTheme="majorHAnsi" w:hAnsiTheme="majorHAnsi" w:cstheme="majorHAnsi"/>
              </w:rPr>
              <w:t>100 words)</w:t>
            </w:r>
          </w:p>
          <w:p w14:paraId="7461A283" w14:textId="77777777" w:rsidR="00C61ABB" w:rsidRPr="00970AE7" w:rsidRDefault="00C61ABB" w:rsidP="00C362CC">
            <w:pPr>
              <w:spacing w:after="120"/>
              <w:rPr>
                <w:rFonts w:asciiTheme="majorHAnsi" w:hAnsiTheme="majorHAnsi" w:cstheme="majorHAnsi"/>
              </w:rPr>
            </w:pPr>
          </w:p>
        </w:tc>
      </w:tr>
      <w:tr w:rsidR="00C61ABB" w:rsidRPr="00970AE7" w14:paraId="6031F2FF" w14:textId="77777777" w:rsidTr="00C362CC">
        <w:tc>
          <w:tcPr>
            <w:tcW w:w="5000" w:type="pct"/>
            <w:gridSpan w:val="3"/>
          </w:tcPr>
          <w:p w14:paraId="21C365C5" w14:textId="77777777" w:rsidR="00C61ABB" w:rsidRPr="00970AE7" w:rsidRDefault="00C61ABB" w:rsidP="00C362CC">
            <w:pPr>
              <w:spacing w:after="120"/>
              <w:rPr>
                <w:rFonts w:asciiTheme="majorHAnsi" w:hAnsiTheme="majorHAnsi" w:cstheme="majorHAnsi"/>
              </w:rPr>
            </w:pPr>
            <w:r w:rsidRPr="00970AE7">
              <w:rPr>
                <w:rFonts w:asciiTheme="majorHAnsi" w:hAnsiTheme="majorHAnsi" w:cstheme="majorHAnsi"/>
                <w:b/>
              </w:rPr>
              <w:t xml:space="preserve">2. Underpinning </w:t>
            </w:r>
            <w:r>
              <w:rPr>
                <w:rFonts w:asciiTheme="majorHAnsi" w:hAnsiTheme="majorHAnsi" w:cstheme="majorHAnsi"/>
                <w:b/>
              </w:rPr>
              <w:t>socio-legal research: What is the basis of impact in published scholarship?</w:t>
            </w:r>
            <w:r>
              <w:rPr>
                <w:rFonts w:asciiTheme="majorHAnsi" w:hAnsiTheme="majorHAnsi" w:cstheme="majorHAnsi"/>
              </w:rPr>
              <w:t xml:space="preserve"> </w:t>
            </w:r>
            <w:r w:rsidRPr="00970AE7">
              <w:rPr>
                <w:rFonts w:asciiTheme="majorHAnsi" w:hAnsiTheme="majorHAnsi" w:cstheme="majorHAnsi"/>
              </w:rPr>
              <w:t>(</w:t>
            </w:r>
            <w:r>
              <w:rPr>
                <w:rFonts w:asciiTheme="majorHAnsi" w:hAnsiTheme="majorHAnsi" w:cstheme="majorHAnsi"/>
              </w:rPr>
              <w:t>max.</w:t>
            </w:r>
            <w:r w:rsidRPr="00970AE7">
              <w:rPr>
                <w:rFonts w:asciiTheme="majorHAnsi" w:hAnsiTheme="majorHAnsi" w:cstheme="majorHAnsi"/>
              </w:rPr>
              <w:t xml:space="preserve"> 500 words)</w:t>
            </w:r>
          </w:p>
          <w:p w14:paraId="60240072" w14:textId="77777777" w:rsidR="00C61ABB" w:rsidRPr="00970AE7" w:rsidRDefault="00C61ABB" w:rsidP="00C362CC">
            <w:pPr>
              <w:spacing w:after="120"/>
              <w:rPr>
                <w:rFonts w:asciiTheme="majorHAnsi" w:eastAsia="Arial" w:hAnsiTheme="majorHAnsi" w:cstheme="majorHAnsi"/>
                <w:lang w:val="en"/>
              </w:rPr>
            </w:pPr>
            <w:r w:rsidRPr="00970AE7">
              <w:rPr>
                <w:rFonts w:asciiTheme="majorHAnsi" w:eastAsia="Arial" w:hAnsiTheme="majorHAnsi" w:cstheme="majorHAnsi"/>
                <w:lang w:val="en"/>
              </w:rPr>
              <w:t xml:space="preserve"> </w:t>
            </w:r>
          </w:p>
        </w:tc>
      </w:tr>
      <w:tr w:rsidR="00C61ABB" w:rsidRPr="00970AE7" w14:paraId="1D8C5A16" w14:textId="77777777" w:rsidTr="00C362CC">
        <w:tc>
          <w:tcPr>
            <w:tcW w:w="5000" w:type="pct"/>
            <w:gridSpan w:val="3"/>
          </w:tcPr>
          <w:p w14:paraId="77441BD1" w14:textId="77777777" w:rsidR="00C61ABB" w:rsidRPr="00970AE7" w:rsidRDefault="00C61ABB" w:rsidP="00C362CC">
            <w:pPr>
              <w:spacing w:after="120"/>
              <w:rPr>
                <w:rFonts w:asciiTheme="majorHAnsi" w:hAnsiTheme="majorHAnsi" w:cstheme="majorHAnsi"/>
              </w:rPr>
            </w:pPr>
            <w:r w:rsidRPr="00970AE7">
              <w:rPr>
                <w:rFonts w:asciiTheme="majorHAnsi" w:hAnsiTheme="majorHAnsi" w:cstheme="majorHAnsi"/>
                <w:b/>
              </w:rPr>
              <w:t>3. References</w:t>
            </w:r>
            <w:r>
              <w:rPr>
                <w:rFonts w:asciiTheme="majorHAnsi" w:hAnsiTheme="majorHAnsi" w:cstheme="majorHAnsi"/>
                <w:b/>
              </w:rPr>
              <w:t xml:space="preserve">: Where has the research been published? </w:t>
            </w:r>
            <w:r w:rsidRPr="00970AE7">
              <w:rPr>
                <w:rFonts w:asciiTheme="majorHAnsi" w:hAnsiTheme="majorHAnsi" w:cstheme="majorHAnsi"/>
              </w:rPr>
              <w:t>(</w:t>
            </w:r>
            <w:r>
              <w:rPr>
                <w:rFonts w:asciiTheme="majorHAnsi" w:hAnsiTheme="majorHAnsi" w:cstheme="majorHAnsi"/>
              </w:rPr>
              <w:t xml:space="preserve">max. </w:t>
            </w:r>
            <w:r w:rsidRPr="00970AE7">
              <w:rPr>
                <w:rFonts w:asciiTheme="majorHAnsi" w:hAnsiTheme="majorHAnsi" w:cstheme="majorHAnsi"/>
              </w:rPr>
              <w:t>six references)</w:t>
            </w:r>
          </w:p>
          <w:p w14:paraId="0AEC1272" w14:textId="77777777" w:rsidR="00C61ABB" w:rsidRPr="00970AE7" w:rsidRDefault="00C61ABB" w:rsidP="00C362CC">
            <w:pPr>
              <w:spacing w:after="120"/>
              <w:rPr>
                <w:rFonts w:asciiTheme="majorHAnsi" w:hAnsiTheme="majorHAnsi" w:cstheme="majorHAnsi"/>
                <w:b/>
              </w:rPr>
            </w:pPr>
          </w:p>
        </w:tc>
      </w:tr>
      <w:tr w:rsidR="00C61ABB" w:rsidRPr="00970AE7" w14:paraId="49370D85" w14:textId="77777777" w:rsidTr="00C362CC">
        <w:tc>
          <w:tcPr>
            <w:tcW w:w="5000" w:type="pct"/>
            <w:gridSpan w:val="3"/>
          </w:tcPr>
          <w:p w14:paraId="2C68BA16" w14:textId="77777777" w:rsidR="00C61ABB" w:rsidRPr="00970AE7" w:rsidRDefault="00C61ABB" w:rsidP="00C362CC">
            <w:pPr>
              <w:spacing w:after="120"/>
              <w:rPr>
                <w:rFonts w:asciiTheme="majorHAnsi" w:hAnsiTheme="majorHAnsi" w:cstheme="majorHAnsi"/>
              </w:rPr>
            </w:pPr>
            <w:r w:rsidRPr="00970AE7">
              <w:rPr>
                <w:rFonts w:asciiTheme="majorHAnsi" w:hAnsiTheme="majorHAnsi" w:cstheme="majorHAnsi"/>
                <w:b/>
              </w:rPr>
              <w:t>4. Details</w:t>
            </w:r>
            <w:r>
              <w:rPr>
                <w:rFonts w:asciiTheme="majorHAnsi" w:hAnsiTheme="majorHAnsi" w:cstheme="majorHAnsi"/>
                <w:b/>
              </w:rPr>
              <w:t xml:space="preserve">: How was impact achieved? </w:t>
            </w:r>
            <w:r w:rsidRPr="00970AE7">
              <w:rPr>
                <w:rFonts w:asciiTheme="majorHAnsi" w:hAnsiTheme="majorHAnsi" w:cstheme="majorHAnsi"/>
              </w:rPr>
              <w:t>(</w:t>
            </w:r>
            <w:r>
              <w:rPr>
                <w:rFonts w:asciiTheme="majorHAnsi" w:hAnsiTheme="majorHAnsi" w:cstheme="majorHAnsi"/>
              </w:rPr>
              <w:t xml:space="preserve">max. </w:t>
            </w:r>
            <w:r w:rsidRPr="00970AE7">
              <w:rPr>
                <w:rFonts w:asciiTheme="majorHAnsi" w:hAnsiTheme="majorHAnsi" w:cstheme="majorHAnsi"/>
              </w:rPr>
              <w:t>750 words)</w:t>
            </w:r>
          </w:p>
          <w:p w14:paraId="48B7AB65" w14:textId="77777777" w:rsidR="00C61ABB" w:rsidRPr="00970AE7" w:rsidRDefault="00C61ABB" w:rsidP="00C362CC">
            <w:pPr>
              <w:spacing w:after="120"/>
              <w:rPr>
                <w:rFonts w:asciiTheme="majorHAnsi" w:eastAsia="Arial" w:hAnsiTheme="majorHAnsi" w:cstheme="majorHAnsi"/>
              </w:rPr>
            </w:pPr>
          </w:p>
        </w:tc>
      </w:tr>
      <w:tr w:rsidR="00C61ABB" w:rsidRPr="00970AE7" w14:paraId="7A1C6F56" w14:textId="77777777" w:rsidTr="00C362CC">
        <w:trPr>
          <w:trHeight w:val="70"/>
        </w:trPr>
        <w:tc>
          <w:tcPr>
            <w:tcW w:w="5000" w:type="pct"/>
            <w:gridSpan w:val="3"/>
          </w:tcPr>
          <w:p w14:paraId="600E7A43" w14:textId="77777777" w:rsidR="00C61ABB" w:rsidRPr="00970AE7" w:rsidRDefault="00C61ABB" w:rsidP="00C362CC">
            <w:pPr>
              <w:spacing w:after="120"/>
              <w:rPr>
                <w:rFonts w:asciiTheme="majorHAnsi" w:hAnsiTheme="majorHAnsi" w:cstheme="majorHAnsi"/>
                <w:b/>
                <w:bCs/>
              </w:rPr>
            </w:pPr>
            <w:r w:rsidRPr="00970AE7">
              <w:rPr>
                <w:rFonts w:asciiTheme="majorHAnsi" w:hAnsiTheme="majorHAnsi" w:cstheme="majorHAnsi"/>
                <w:b/>
              </w:rPr>
              <w:t>5. Sources</w:t>
            </w:r>
            <w:r>
              <w:rPr>
                <w:rFonts w:asciiTheme="majorHAnsi" w:hAnsiTheme="majorHAnsi" w:cstheme="majorHAnsi"/>
                <w:b/>
              </w:rPr>
              <w:t xml:space="preserve">: Corroborating the </w:t>
            </w:r>
            <w:r w:rsidRPr="00970AE7">
              <w:rPr>
                <w:rFonts w:asciiTheme="majorHAnsi" w:hAnsiTheme="majorHAnsi" w:cstheme="majorHAnsi"/>
                <w:b/>
              </w:rPr>
              <w:t xml:space="preserve">impact </w:t>
            </w:r>
            <w:r w:rsidRPr="00970AE7">
              <w:rPr>
                <w:rFonts w:asciiTheme="majorHAnsi" w:hAnsiTheme="majorHAnsi" w:cstheme="majorHAnsi"/>
              </w:rPr>
              <w:t>(</w:t>
            </w:r>
            <w:r>
              <w:rPr>
                <w:rFonts w:asciiTheme="majorHAnsi" w:hAnsiTheme="majorHAnsi" w:cstheme="majorHAnsi"/>
              </w:rPr>
              <w:t>max. 5</w:t>
            </w:r>
            <w:r w:rsidRPr="00970AE7">
              <w:rPr>
                <w:rFonts w:asciiTheme="majorHAnsi" w:hAnsiTheme="majorHAnsi" w:cstheme="majorHAnsi"/>
              </w:rPr>
              <w:t xml:space="preserve"> references)</w:t>
            </w:r>
          </w:p>
          <w:p w14:paraId="2675391A" w14:textId="77777777" w:rsidR="00C61ABB" w:rsidRPr="00970AE7" w:rsidRDefault="00C61ABB" w:rsidP="00C362CC">
            <w:pPr>
              <w:spacing w:after="120"/>
              <w:rPr>
                <w:rFonts w:asciiTheme="majorHAnsi" w:eastAsia="Arial" w:hAnsiTheme="majorHAnsi" w:cstheme="majorHAnsi"/>
              </w:rPr>
            </w:pPr>
          </w:p>
        </w:tc>
      </w:tr>
    </w:tbl>
    <w:p w14:paraId="05CD23CF" w14:textId="08021B76" w:rsidR="005B4316" w:rsidRPr="00011FE1" w:rsidRDefault="005B4316" w:rsidP="005B4316">
      <w:pPr>
        <w:spacing w:after="120"/>
        <w:jc w:val="right"/>
        <w:rPr>
          <w:rFonts w:asciiTheme="majorHAnsi" w:hAnsiTheme="majorHAnsi" w:cstheme="majorHAnsi"/>
          <w:b/>
          <w:bCs/>
        </w:rPr>
      </w:pPr>
      <w:r w:rsidRPr="00011FE1">
        <w:rPr>
          <w:rFonts w:asciiTheme="majorHAnsi" w:hAnsiTheme="majorHAnsi" w:cstheme="majorHAnsi"/>
          <w:b/>
          <w:bCs/>
        </w:rPr>
        <w:t xml:space="preserve">Version </w:t>
      </w:r>
      <w:r w:rsidR="00365953">
        <w:rPr>
          <w:rFonts w:asciiTheme="majorHAnsi" w:hAnsiTheme="majorHAnsi" w:cstheme="majorHAnsi"/>
          <w:b/>
          <w:bCs/>
        </w:rPr>
        <w:t>1.1</w:t>
      </w:r>
      <w:r w:rsidRPr="00011FE1">
        <w:rPr>
          <w:rFonts w:asciiTheme="majorHAnsi" w:hAnsiTheme="majorHAnsi" w:cstheme="majorHAnsi"/>
          <w:b/>
          <w:bCs/>
        </w:rPr>
        <w:t xml:space="preserve"> (</w:t>
      </w:r>
      <w:r w:rsidR="00365953">
        <w:rPr>
          <w:rFonts w:asciiTheme="majorHAnsi" w:hAnsiTheme="majorHAnsi" w:cstheme="majorHAnsi"/>
          <w:b/>
          <w:bCs/>
        </w:rPr>
        <w:t>January 2022</w:t>
      </w:r>
      <w:r w:rsidRPr="00011FE1">
        <w:rPr>
          <w:rFonts w:asciiTheme="majorHAnsi" w:hAnsiTheme="majorHAnsi" w:cstheme="majorHAnsi"/>
          <w:b/>
          <w:bCs/>
        </w:rPr>
        <w:t>)</w:t>
      </w:r>
    </w:p>
    <w:p w14:paraId="29E3711A" w14:textId="41580662" w:rsidR="005B4316" w:rsidRPr="00011FE1" w:rsidRDefault="005B4316" w:rsidP="005B4316">
      <w:pPr>
        <w:spacing w:after="120"/>
        <w:jc w:val="right"/>
        <w:rPr>
          <w:rFonts w:asciiTheme="majorHAnsi" w:hAnsiTheme="majorHAnsi" w:cstheme="majorHAnsi"/>
          <w:b/>
          <w:bCs/>
        </w:rPr>
      </w:pPr>
      <w:r w:rsidRPr="00011FE1">
        <w:rPr>
          <w:rFonts w:asciiTheme="majorHAnsi" w:hAnsiTheme="majorHAnsi" w:cstheme="majorHAnsi"/>
          <w:b/>
          <w:bCs/>
        </w:rPr>
        <w:t xml:space="preserve">SLSA </w:t>
      </w:r>
      <w:r>
        <w:rPr>
          <w:rFonts w:asciiTheme="majorHAnsi" w:hAnsiTheme="majorHAnsi" w:cstheme="majorHAnsi"/>
          <w:b/>
          <w:bCs/>
        </w:rPr>
        <w:t>Board</w:t>
      </w:r>
      <w:r w:rsidRPr="00011FE1">
        <w:rPr>
          <w:rFonts w:asciiTheme="majorHAnsi" w:hAnsiTheme="majorHAnsi" w:cstheme="majorHAnsi"/>
          <w:b/>
          <w:bCs/>
        </w:rPr>
        <w:t xml:space="preserve"> </w:t>
      </w:r>
    </w:p>
    <w:p w14:paraId="66C9A65A" w14:textId="77777777" w:rsidR="009B4160" w:rsidRDefault="009B4160"/>
    <w:sectPr w:rsidR="009B4160" w:rsidSect="0064254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508A" w14:textId="77777777" w:rsidR="00A65805" w:rsidRDefault="00A65805" w:rsidP="00AE1CE8">
      <w:pPr>
        <w:spacing w:after="0"/>
      </w:pPr>
      <w:r>
        <w:separator/>
      </w:r>
    </w:p>
  </w:endnote>
  <w:endnote w:type="continuationSeparator" w:id="0">
    <w:p w14:paraId="339BB69B" w14:textId="77777777" w:rsidR="00A65805" w:rsidRDefault="00A65805" w:rsidP="00AE1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663145"/>
      <w:docPartObj>
        <w:docPartGallery w:val="Page Numbers (Bottom of Page)"/>
        <w:docPartUnique/>
      </w:docPartObj>
    </w:sdtPr>
    <w:sdtEndPr>
      <w:rPr>
        <w:noProof/>
      </w:rPr>
    </w:sdtEndPr>
    <w:sdtContent>
      <w:p w14:paraId="4F09B7F9" w14:textId="35CCDDCE" w:rsidR="007E6F6C" w:rsidRDefault="007E6F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91A7B" w14:textId="77777777" w:rsidR="007E6F6C" w:rsidRDefault="007E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7A67" w14:textId="77777777" w:rsidR="00642541" w:rsidRDefault="00642541" w:rsidP="00642541">
    <w:pPr>
      <w:pStyle w:val="Footer"/>
    </w:pPr>
    <w:bookmarkStart w:id="3" w:name="BMKCIONAME3"/>
    <w:r>
      <w:rPr>
        <w:noProof/>
        <w:lang w:eastAsia="en-GB"/>
      </w:rPr>
      <w:t>Socio-Legal Studies Association, a charitable incorporated organisation</w:t>
    </w:r>
    <w:bookmarkEnd w:id="3"/>
    <w:r>
      <w:rPr>
        <w:noProof/>
        <w:lang w:eastAsia="en-GB"/>
      </w:rPr>
      <w:t xml:space="preserve"> (registered charity number </w:t>
    </w:r>
    <w:bookmarkStart w:id="4" w:name="BMKCIONUMBER2"/>
    <w:r>
      <w:rPr>
        <w:rFonts w:cs="Arial"/>
        <w:noProof/>
        <w:color w:val="000000"/>
        <w:lang w:eastAsia="en-GB"/>
      </w:rPr>
      <w:t>1186333</w:t>
    </w:r>
    <w:bookmarkEnd w:id="4"/>
    <w:r>
      <w:rPr>
        <w:noProof/>
        <w:lang w:eastAsia="en-GB"/>
      </w:rPr>
      <w:t xml:space="preserve">). Principal office: c/o Birmingham Law School, University of Birmingham, Edgbaston, Birmingham, B15 2TT.  </w:t>
    </w:r>
    <w:r>
      <w:rPr>
        <w:noProof/>
        <w:lang w:eastAsia="en-GB"/>
      </w:rPr>
      <w:sym w:font="Wingdings" w:char="F02A"/>
    </w:r>
    <w:r>
      <w:rPr>
        <w:noProof/>
        <w:lang w:eastAsia="en-GB"/>
      </w:rPr>
      <w:t xml:space="preserve"> admin@slsa.ac.uk | www.slsa.ac.uk</w:t>
    </w:r>
  </w:p>
  <w:p w14:paraId="4217BEB0" w14:textId="77777777" w:rsidR="00642541" w:rsidRDefault="0064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5C50" w14:textId="77777777" w:rsidR="00A65805" w:rsidRDefault="00A65805" w:rsidP="00AE1CE8">
      <w:pPr>
        <w:spacing w:after="0"/>
      </w:pPr>
      <w:r>
        <w:separator/>
      </w:r>
    </w:p>
  </w:footnote>
  <w:footnote w:type="continuationSeparator" w:id="0">
    <w:p w14:paraId="73C7FDF3" w14:textId="77777777" w:rsidR="00A65805" w:rsidRDefault="00A65805" w:rsidP="00AE1C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F1093" w14:textId="6CF23783" w:rsidR="00AE1CE8" w:rsidRDefault="00AE1CE8" w:rsidP="00AE1CE8">
    <w:pPr>
      <w:pStyle w:val="Header"/>
      <w:jc w:val="center"/>
    </w:pPr>
  </w:p>
  <w:p w14:paraId="5A1BC40C" w14:textId="77777777" w:rsidR="00AE1CE8" w:rsidRDefault="00AE1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D4BC" w14:textId="23489A52" w:rsidR="00642541" w:rsidRDefault="00642541" w:rsidP="008C68B7">
    <w:pPr>
      <w:pStyle w:val="Header"/>
      <w:jc w:val="center"/>
    </w:pPr>
    <w:r>
      <w:rPr>
        <w:rFonts w:ascii="Helvetica" w:hAnsi="Helvetica"/>
        <w:b/>
        <w:noProof/>
        <w:sz w:val="32"/>
        <w:lang w:eastAsia="en-GB"/>
      </w:rPr>
      <w:drawing>
        <wp:inline distT="0" distB="0" distL="0" distR="0" wp14:anchorId="33550DD6" wp14:editId="6100A09C">
          <wp:extent cx="2857500" cy="1038225"/>
          <wp:effectExtent l="0" t="0" r="0" b="0"/>
          <wp:docPr id="1" name="Picture 1" descr="SLSA-TRANS-300x100-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TRANS-300x100-1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E183B"/>
    <w:multiLevelType w:val="hybridMultilevel"/>
    <w:tmpl w:val="B7223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A678EA"/>
    <w:multiLevelType w:val="hybridMultilevel"/>
    <w:tmpl w:val="AE5C803E"/>
    <w:lvl w:ilvl="0" w:tplc="8E3C26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E8"/>
    <w:rsid w:val="000E4946"/>
    <w:rsid w:val="002E596D"/>
    <w:rsid w:val="00365953"/>
    <w:rsid w:val="00512467"/>
    <w:rsid w:val="005B4316"/>
    <w:rsid w:val="00642541"/>
    <w:rsid w:val="006F79EA"/>
    <w:rsid w:val="007C111B"/>
    <w:rsid w:val="007E6F6C"/>
    <w:rsid w:val="008C68B7"/>
    <w:rsid w:val="00942E85"/>
    <w:rsid w:val="009B4160"/>
    <w:rsid w:val="00A65805"/>
    <w:rsid w:val="00AE1CE8"/>
    <w:rsid w:val="00C61ABB"/>
    <w:rsid w:val="00D21578"/>
    <w:rsid w:val="00D5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C6BA"/>
  <w15:chartTrackingRefBased/>
  <w15:docId w15:val="{6515036D-9A17-4FAA-8CEF-FF2EFAB8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78"/>
    <w:pPr>
      <w:spacing w:line="240" w:lineRule="auto"/>
      <w:jc w:val="both"/>
    </w:pPr>
    <w:rPr>
      <w:rFonts w:eastAsiaTheme="minorEastAsia"/>
    </w:rPr>
  </w:style>
  <w:style w:type="paragraph" w:styleId="Heading1">
    <w:name w:val="heading 1"/>
    <w:basedOn w:val="Normal"/>
    <w:next w:val="Normal"/>
    <w:link w:val="Heading1Char"/>
    <w:uiPriority w:val="9"/>
    <w:qFormat/>
    <w:rsid w:val="00D21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E596D"/>
    <w:rPr>
      <w:rFonts w:ascii="Calibri Light" w:hAnsi="Calibri Light"/>
      <w:noProof/>
      <w:lang w:val="en-US"/>
    </w:rPr>
  </w:style>
  <w:style w:type="character" w:customStyle="1" w:styleId="EndNoteBibliographyChar">
    <w:name w:val="EndNote Bibliography Char"/>
    <w:basedOn w:val="DefaultParagraphFont"/>
    <w:link w:val="EndNoteBibliography"/>
    <w:rsid w:val="002E596D"/>
    <w:rPr>
      <w:rFonts w:ascii="Calibri Light" w:hAnsi="Calibri Light"/>
      <w:noProof/>
      <w:lang w:val="en-US"/>
    </w:rPr>
  </w:style>
  <w:style w:type="paragraph" w:styleId="Header">
    <w:name w:val="header"/>
    <w:basedOn w:val="Normal"/>
    <w:link w:val="HeaderChar"/>
    <w:uiPriority w:val="99"/>
    <w:unhideWhenUsed/>
    <w:rsid w:val="00AE1CE8"/>
    <w:pPr>
      <w:tabs>
        <w:tab w:val="center" w:pos="4513"/>
        <w:tab w:val="right" w:pos="9026"/>
      </w:tabs>
      <w:spacing w:after="0"/>
    </w:pPr>
  </w:style>
  <w:style w:type="character" w:customStyle="1" w:styleId="HeaderChar">
    <w:name w:val="Header Char"/>
    <w:basedOn w:val="DefaultParagraphFont"/>
    <w:link w:val="Header"/>
    <w:uiPriority w:val="99"/>
    <w:rsid w:val="00AE1CE8"/>
  </w:style>
  <w:style w:type="paragraph" w:styleId="Footer">
    <w:name w:val="footer"/>
    <w:basedOn w:val="Normal"/>
    <w:link w:val="FooterChar"/>
    <w:uiPriority w:val="99"/>
    <w:unhideWhenUsed/>
    <w:rsid w:val="00AE1CE8"/>
    <w:pPr>
      <w:tabs>
        <w:tab w:val="center" w:pos="4513"/>
        <w:tab w:val="right" w:pos="9026"/>
      </w:tabs>
      <w:spacing w:after="0"/>
    </w:pPr>
  </w:style>
  <w:style w:type="character" w:customStyle="1" w:styleId="FooterChar">
    <w:name w:val="Footer Char"/>
    <w:basedOn w:val="DefaultParagraphFont"/>
    <w:link w:val="Footer"/>
    <w:uiPriority w:val="99"/>
    <w:rsid w:val="00AE1CE8"/>
  </w:style>
  <w:style w:type="character" w:styleId="Hyperlink">
    <w:name w:val="Hyperlink"/>
    <w:basedOn w:val="DefaultParagraphFont"/>
    <w:uiPriority w:val="99"/>
    <w:unhideWhenUsed/>
    <w:rsid w:val="00AE1CE8"/>
    <w:rPr>
      <w:color w:val="0563C1" w:themeColor="hyperlink"/>
      <w:u w:val="single"/>
    </w:rPr>
  </w:style>
  <w:style w:type="character" w:customStyle="1" w:styleId="Heading1Char">
    <w:name w:val="Heading 1 Char"/>
    <w:basedOn w:val="DefaultParagraphFont"/>
    <w:link w:val="Heading1"/>
    <w:uiPriority w:val="9"/>
    <w:rsid w:val="00D215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21578"/>
    <w:pPr>
      <w:ind w:left="720"/>
      <w:contextualSpacing/>
    </w:pPr>
  </w:style>
  <w:style w:type="paragraph" w:styleId="NormalWeb">
    <w:name w:val="Normal (Web)"/>
    <w:basedOn w:val="Normal"/>
    <w:uiPriority w:val="99"/>
    <w:unhideWhenUsed/>
    <w:rsid w:val="00D21578"/>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cf01">
    <w:name w:val="cf01"/>
    <w:basedOn w:val="DefaultParagraphFont"/>
    <w:rsid w:val="00D215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f.ac.uk/media/1450/ref-2019_02-panel-criteria-and-working-method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Harding (Birmingham Law School)</dc:creator>
  <cp:keywords/>
  <dc:description/>
  <cp:lastModifiedBy>Rosie Harding (Birmingham Law School)</cp:lastModifiedBy>
  <cp:revision>2</cp:revision>
  <dcterms:created xsi:type="dcterms:W3CDTF">2022-01-21T18:17:00Z</dcterms:created>
  <dcterms:modified xsi:type="dcterms:W3CDTF">2022-01-21T18:17:00Z</dcterms:modified>
</cp:coreProperties>
</file>