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07071" w14:textId="2241A0F3" w:rsidR="006A4A03" w:rsidRPr="00E1048E" w:rsidRDefault="00304887" w:rsidP="00591AD1">
      <w:pPr>
        <w:ind w:left="720" w:firstLine="720"/>
        <w:jc w:val="center"/>
        <w:rPr>
          <w:rFonts w:ascii="Arial" w:hAnsi="Arial" w:cs="Arial"/>
          <w:b/>
          <w:bCs/>
          <w:sz w:val="40"/>
          <w:szCs w:val="40"/>
          <w:u w:val="single"/>
        </w:rPr>
      </w:pPr>
      <w:r w:rsidRPr="00E1048E">
        <w:rPr>
          <w:rFonts w:ascii="Arial" w:hAnsi="Arial" w:cs="Arial"/>
          <w:b/>
          <w:bCs/>
          <w:sz w:val="40"/>
          <w:szCs w:val="40"/>
          <w:u w:val="single"/>
        </w:rPr>
        <w:t>Call for Papers</w:t>
      </w:r>
      <w:r w:rsidR="00570853" w:rsidRPr="00570853">
        <w:rPr>
          <w:noProof/>
        </w:rPr>
        <w:t xml:space="preserve"> </w:t>
      </w:r>
    </w:p>
    <w:p w14:paraId="7151A7BD" w14:textId="005D6CEB" w:rsidR="00304887" w:rsidRPr="00C90FF4" w:rsidRDefault="00304887" w:rsidP="00304887">
      <w:pPr>
        <w:jc w:val="center"/>
        <w:rPr>
          <w:rFonts w:ascii="Arial" w:hAnsi="Arial" w:cs="Arial"/>
          <w:b/>
          <w:bCs/>
          <w:sz w:val="38"/>
          <w:szCs w:val="38"/>
        </w:rPr>
      </w:pPr>
      <w:r w:rsidRPr="00C90FF4">
        <w:rPr>
          <w:rFonts w:ascii="Arial" w:hAnsi="Arial" w:cs="Arial"/>
          <w:b/>
          <w:bCs/>
          <w:sz w:val="38"/>
          <w:szCs w:val="38"/>
        </w:rPr>
        <w:t>‘The Vulnerable Accused in the Criminal Justice System’</w:t>
      </w:r>
    </w:p>
    <w:p w14:paraId="50696A35" w14:textId="184A579E" w:rsidR="00304887" w:rsidRPr="00E1048E" w:rsidRDefault="00AD61FD" w:rsidP="00304887">
      <w:pPr>
        <w:jc w:val="center"/>
        <w:rPr>
          <w:rFonts w:ascii="Arial" w:hAnsi="Arial" w:cs="Arial"/>
          <w:sz w:val="38"/>
          <w:szCs w:val="38"/>
        </w:rPr>
      </w:pPr>
      <w:r>
        <w:rPr>
          <w:rFonts w:ascii="Arial" w:hAnsi="Arial" w:cs="Arial"/>
          <w:sz w:val="38"/>
          <w:szCs w:val="38"/>
        </w:rPr>
        <w:t>10</w:t>
      </w:r>
      <w:r w:rsidRPr="00AD61FD">
        <w:rPr>
          <w:rFonts w:ascii="Arial" w:hAnsi="Arial" w:cs="Arial"/>
          <w:sz w:val="38"/>
          <w:szCs w:val="38"/>
          <w:vertAlign w:val="superscript"/>
        </w:rPr>
        <w:t>th</w:t>
      </w:r>
      <w:r>
        <w:rPr>
          <w:rFonts w:ascii="Arial" w:hAnsi="Arial" w:cs="Arial"/>
          <w:sz w:val="38"/>
          <w:szCs w:val="38"/>
        </w:rPr>
        <w:t xml:space="preserve"> and 11</w:t>
      </w:r>
      <w:r w:rsidRPr="00AD61FD">
        <w:rPr>
          <w:rFonts w:ascii="Arial" w:hAnsi="Arial" w:cs="Arial"/>
          <w:sz w:val="38"/>
          <w:szCs w:val="38"/>
          <w:vertAlign w:val="superscript"/>
        </w:rPr>
        <w:t>th</w:t>
      </w:r>
      <w:r>
        <w:rPr>
          <w:rFonts w:ascii="Arial" w:hAnsi="Arial" w:cs="Arial"/>
          <w:sz w:val="38"/>
          <w:szCs w:val="38"/>
        </w:rPr>
        <w:t xml:space="preserve"> September</w:t>
      </w:r>
      <w:r w:rsidR="00304887" w:rsidRPr="00E1048E">
        <w:rPr>
          <w:rFonts w:ascii="Arial" w:hAnsi="Arial" w:cs="Arial"/>
          <w:sz w:val="38"/>
          <w:szCs w:val="38"/>
        </w:rPr>
        <w:t xml:space="preserve">, </w:t>
      </w:r>
      <w:r>
        <w:rPr>
          <w:rFonts w:ascii="Arial" w:hAnsi="Arial" w:cs="Arial"/>
          <w:sz w:val="38"/>
          <w:szCs w:val="38"/>
        </w:rPr>
        <w:t>Cardiff University</w:t>
      </w:r>
    </w:p>
    <w:p w14:paraId="44D91806" w14:textId="50EB2531" w:rsidR="00304887" w:rsidRPr="000B6717" w:rsidRDefault="00B64A63" w:rsidP="00304887">
      <w:pPr>
        <w:jc w:val="center"/>
        <w:rPr>
          <w:rFonts w:ascii="Arial" w:hAnsi="Arial" w:cs="Arial"/>
          <w:i/>
          <w:iCs/>
          <w:sz w:val="20"/>
          <w:szCs w:val="20"/>
        </w:rPr>
      </w:pPr>
      <w:r w:rsidRPr="000B6717">
        <w:rPr>
          <w:rFonts w:ascii="Arial" w:hAnsi="Arial" w:cs="Arial"/>
          <w:i/>
          <w:iCs/>
          <w:sz w:val="20"/>
          <w:szCs w:val="20"/>
        </w:rPr>
        <w:t xml:space="preserve">Organisers: Dr Roxanna </w:t>
      </w:r>
      <w:proofErr w:type="spellStart"/>
      <w:r w:rsidRPr="000B6717">
        <w:rPr>
          <w:rFonts w:ascii="Arial" w:hAnsi="Arial" w:cs="Arial"/>
          <w:i/>
          <w:iCs/>
          <w:sz w:val="20"/>
          <w:szCs w:val="20"/>
        </w:rPr>
        <w:t>Dehaghani</w:t>
      </w:r>
      <w:proofErr w:type="spellEnd"/>
      <w:r w:rsidRPr="000B6717">
        <w:rPr>
          <w:rFonts w:ascii="Arial" w:hAnsi="Arial" w:cs="Arial"/>
          <w:i/>
          <w:iCs/>
          <w:sz w:val="20"/>
          <w:szCs w:val="20"/>
        </w:rPr>
        <w:t xml:space="preserve"> (Cardiff University),</w:t>
      </w:r>
      <w:r w:rsidR="00AD61FD">
        <w:rPr>
          <w:rFonts w:ascii="Arial" w:hAnsi="Arial" w:cs="Arial"/>
          <w:i/>
          <w:iCs/>
          <w:sz w:val="20"/>
          <w:szCs w:val="20"/>
        </w:rPr>
        <w:t xml:space="preserve"> </w:t>
      </w:r>
      <w:r w:rsidR="00AD61FD" w:rsidRPr="000B6717">
        <w:rPr>
          <w:rFonts w:ascii="Arial" w:hAnsi="Arial" w:cs="Arial"/>
          <w:i/>
          <w:iCs/>
          <w:sz w:val="20"/>
          <w:szCs w:val="20"/>
        </w:rPr>
        <w:t>Dr Samantha Fairclough (University of Birmingham</w:t>
      </w:r>
      <w:r w:rsidR="003A7C5A">
        <w:rPr>
          <w:rFonts w:ascii="Arial" w:hAnsi="Arial" w:cs="Arial"/>
          <w:i/>
          <w:iCs/>
          <w:sz w:val="20"/>
          <w:szCs w:val="20"/>
        </w:rPr>
        <w:t>)</w:t>
      </w:r>
      <w:r w:rsidR="00AD61FD">
        <w:rPr>
          <w:rFonts w:ascii="Arial" w:hAnsi="Arial" w:cs="Arial"/>
          <w:i/>
          <w:iCs/>
          <w:sz w:val="20"/>
          <w:szCs w:val="20"/>
        </w:rPr>
        <w:t>,</w:t>
      </w:r>
      <w:r w:rsidRPr="000B6717">
        <w:rPr>
          <w:rFonts w:ascii="Arial" w:hAnsi="Arial" w:cs="Arial"/>
          <w:i/>
          <w:iCs/>
          <w:sz w:val="20"/>
          <w:szCs w:val="20"/>
        </w:rPr>
        <w:t xml:space="preserve"> Dr Harriet Pierpoint (University of South Wales)</w:t>
      </w:r>
    </w:p>
    <w:p w14:paraId="73EA6A60" w14:textId="06053595" w:rsidR="00570853" w:rsidRDefault="00570853" w:rsidP="00304887">
      <w:pPr>
        <w:jc w:val="center"/>
        <w:rPr>
          <w:rFonts w:ascii="Arial" w:hAnsi="Arial" w:cs="Arial"/>
          <w:sz w:val="20"/>
          <w:szCs w:val="20"/>
        </w:rPr>
      </w:pPr>
      <w:r w:rsidRPr="000B6717">
        <w:rPr>
          <w:rFonts w:ascii="Arial" w:hAnsi="Arial" w:cs="Arial"/>
          <w:sz w:val="20"/>
          <w:szCs w:val="20"/>
        </w:rPr>
        <w:t xml:space="preserve">With funding from: </w:t>
      </w:r>
      <w:r w:rsidR="00AD61FD">
        <w:rPr>
          <w:rFonts w:ascii="Arial" w:hAnsi="Arial" w:cs="Arial"/>
          <w:sz w:val="20"/>
          <w:szCs w:val="20"/>
        </w:rPr>
        <w:t xml:space="preserve">Cardiff’s Centre for Law and Society, the </w:t>
      </w:r>
      <w:r w:rsidRPr="000B6717">
        <w:rPr>
          <w:rFonts w:ascii="Arial" w:hAnsi="Arial" w:cs="Arial"/>
          <w:sz w:val="20"/>
          <w:szCs w:val="20"/>
        </w:rPr>
        <w:t>Society of Legal Scholars,</w:t>
      </w:r>
      <w:r w:rsidR="00AD61FD">
        <w:rPr>
          <w:rFonts w:ascii="Arial" w:hAnsi="Arial" w:cs="Arial"/>
          <w:sz w:val="20"/>
          <w:szCs w:val="20"/>
        </w:rPr>
        <w:t xml:space="preserve"> and the </w:t>
      </w:r>
      <w:proofErr w:type="spellStart"/>
      <w:r w:rsidR="00AD61FD">
        <w:rPr>
          <w:rFonts w:ascii="Arial" w:hAnsi="Arial" w:cs="Arial"/>
          <w:sz w:val="20"/>
          <w:szCs w:val="20"/>
        </w:rPr>
        <w:t>ImpleMendez</w:t>
      </w:r>
      <w:proofErr w:type="spellEnd"/>
      <w:r w:rsidR="00AD61FD">
        <w:rPr>
          <w:rFonts w:ascii="Arial" w:hAnsi="Arial" w:cs="Arial"/>
          <w:sz w:val="20"/>
          <w:szCs w:val="20"/>
        </w:rPr>
        <w:t xml:space="preserve"> COST Action</w:t>
      </w:r>
      <w:r w:rsidR="00A53BEC">
        <w:rPr>
          <w:rFonts w:ascii="Arial" w:hAnsi="Arial" w:cs="Arial"/>
          <w:sz w:val="20"/>
          <w:szCs w:val="20"/>
        </w:rPr>
        <w:t xml:space="preserve"> CA22128</w:t>
      </w:r>
    </w:p>
    <w:p w14:paraId="3601B973" w14:textId="47FD20D5" w:rsidR="00304887" w:rsidRPr="00E1048E" w:rsidRDefault="00304887" w:rsidP="00304887">
      <w:pPr>
        <w:jc w:val="both"/>
        <w:rPr>
          <w:rStyle w:val="normaltextrun"/>
          <w:rFonts w:ascii="Arial" w:hAnsi="Arial" w:cs="Arial"/>
          <w:sz w:val="24"/>
          <w:szCs w:val="24"/>
        </w:rPr>
      </w:pPr>
      <w:r w:rsidRPr="00E1048E">
        <w:rPr>
          <w:rStyle w:val="normaltextrun"/>
          <w:rFonts w:ascii="Arial" w:hAnsi="Arial" w:cs="Arial"/>
          <w:sz w:val="24"/>
          <w:szCs w:val="24"/>
        </w:rPr>
        <w:t xml:space="preserve">The vulnerability of suspects and defendants in criminal proceedings is a topic that has received increasing and sustained judicial attention in recent years. The </w:t>
      </w:r>
      <w:proofErr w:type="spellStart"/>
      <w:r w:rsidRPr="00E1048E">
        <w:rPr>
          <w:rStyle w:val="normaltextrun"/>
          <w:rFonts w:ascii="Arial" w:hAnsi="Arial" w:cs="Arial"/>
          <w:i/>
          <w:iCs/>
          <w:sz w:val="24"/>
          <w:szCs w:val="24"/>
        </w:rPr>
        <w:t>Salduz</w:t>
      </w:r>
      <w:proofErr w:type="spellEnd"/>
      <w:r w:rsidRPr="00E1048E">
        <w:rPr>
          <w:rStyle w:val="normaltextrun"/>
          <w:rFonts w:ascii="Arial" w:hAnsi="Arial" w:cs="Arial"/>
          <w:sz w:val="24"/>
          <w:szCs w:val="24"/>
        </w:rPr>
        <w:t xml:space="preserve"> judgment and subsequent case law recognises that all suspects are potentially vulnerable. With specific regard to defendants, there is an ever-growing body of case law concerned with the ability of vulnerable defendants to participate effectively in criminal proceedings, as per Article 6(1) of the European Convention on Human Rights (ECHR), including the European Court of Human Rights judgments </w:t>
      </w:r>
      <w:r w:rsidRPr="00E1048E">
        <w:rPr>
          <w:rStyle w:val="normaltextrun"/>
          <w:rFonts w:ascii="Arial" w:hAnsi="Arial" w:cs="Arial"/>
          <w:i/>
          <w:iCs/>
          <w:sz w:val="24"/>
          <w:szCs w:val="24"/>
        </w:rPr>
        <w:t xml:space="preserve">of T v United Kingdom </w:t>
      </w:r>
      <w:r w:rsidRPr="00E1048E">
        <w:rPr>
          <w:rStyle w:val="normaltextrun"/>
          <w:rFonts w:ascii="Arial" w:hAnsi="Arial" w:cs="Arial"/>
          <w:sz w:val="24"/>
          <w:szCs w:val="24"/>
        </w:rPr>
        <w:t>and</w:t>
      </w:r>
      <w:r w:rsidRPr="00E1048E">
        <w:rPr>
          <w:rStyle w:val="normaltextrun"/>
          <w:rFonts w:ascii="Arial" w:hAnsi="Arial" w:cs="Arial"/>
          <w:i/>
          <w:iCs/>
          <w:sz w:val="24"/>
          <w:szCs w:val="24"/>
        </w:rPr>
        <w:t xml:space="preserve"> SC v United Kingdom</w:t>
      </w:r>
      <w:r w:rsidRPr="00E1048E">
        <w:rPr>
          <w:rStyle w:val="normaltextrun"/>
          <w:rFonts w:ascii="Arial" w:hAnsi="Arial" w:cs="Arial"/>
          <w:sz w:val="24"/>
          <w:szCs w:val="24"/>
        </w:rPr>
        <w:t xml:space="preserve">. Whilst such developments are positive (in that they mark official recognition of the potential vulnerabilities of suspects and defendants) several issues remain in ensuring the proper identification/recognition of vulnerability among these groups and the provision of appropriate responses to it. </w:t>
      </w:r>
    </w:p>
    <w:p w14:paraId="38E5D066" w14:textId="5C22B482" w:rsidR="00304887" w:rsidRPr="00E1048E" w:rsidRDefault="00304887" w:rsidP="00304887">
      <w:pPr>
        <w:jc w:val="both"/>
        <w:rPr>
          <w:rStyle w:val="normaltextrun"/>
          <w:rFonts w:ascii="Arial" w:hAnsi="Arial" w:cs="Arial"/>
          <w:sz w:val="24"/>
          <w:szCs w:val="24"/>
        </w:rPr>
      </w:pPr>
      <w:r w:rsidRPr="00E1048E">
        <w:rPr>
          <w:rStyle w:val="normaltextrun"/>
          <w:rFonts w:ascii="Arial" w:hAnsi="Arial" w:cs="Arial"/>
          <w:sz w:val="24"/>
          <w:szCs w:val="24"/>
        </w:rPr>
        <w:t xml:space="preserve">This conference is </w:t>
      </w:r>
      <w:r w:rsidR="00AD61FD">
        <w:rPr>
          <w:rStyle w:val="normaltextrun"/>
          <w:rFonts w:ascii="Arial" w:hAnsi="Arial" w:cs="Arial"/>
          <w:sz w:val="24"/>
          <w:szCs w:val="24"/>
        </w:rPr>
        <w:t xml:space="preserve">the follow up to the inaugural Vulnerable Accused conference at the University of Birmingham in 2023. It is </w:t>
      </w:r>
      <w:r w:rsidRPr="00E1048E">
        <w:rPr>
          <w:rStyle w:val="normaltextrun"/>
          <w:rFonts w:ascii="Arial" w:hAnsi="Arial" w:cs="Arial"/>
          <w:sz w:val="24"/>
          <w:szCs w:val="24"/>
        </w:rPr>
        <w:t>dedicated to a discussion of the many unresolved issues that remain with regard to suspect/defendant vulnerability</w:t>
      </w:r>
      <w:r w:rsidR="00CD0FC3" w:rsidRPr="00E1048E">
        <w:rPr>
          <w:rStyle w:val="normaltextrun"/>
          <w:rFonts w:ascii="Arial" w:hAnsi="Arial" w:cs="Arial"/>
          <w:sz w:val="24"/>
          <w:szCs w:val="24"/>
        </w:rPr>
        <w:t>,</w:t>
      </w:r>
      <w:r w:rsidRPr="00E1048E">
        <w:rPr>
          <w:rStyle w:val="normaltextrun"/>
          <w:rFonts w:ascii="Arial" w:hAnsi="Arial" w:cs="Arial"/>
          <w:sz w:val="24"/>
          <w:szCs w:val="24"/>
        </w:rPr>
        <w:t xml:space="preserve"> with a view to moving the conversation forward. </w:t>
      </w:r>
      <w:r w:rsidRPr="00E1048E">
        <w:rPr>
          <w:rFonts w:ascii="Arial" w:hAnsi="Arial" w:cs="Arial"/>
          <w:sz w:val="24"/>
          <w:szCs w:val="24"/>
        </w:rPr>
        <w:t xml:space="preserve">It will </w:t>
      </w:r>
      <w:r w:rsidRPr="00E1048E">
        <w:rPr>
          <w:rFonts w:ascii="Arial" w:hAnsi="Arial" w:cs="Arial"/>
          <w:color w:val="000000" w:themeColor="text1"/>
          <w:sz w:val="24"/>
          <w:szCs w:val="24"/>
        </w:rPr>
        <w:t xml:space="preserve">bring together a range of contributors, exploring different aspects of the criminal process, to critically interrogate the safeguarding, protection, and participation of vulnerable suspects and defendants </w:t>
      </w:r>
      <w:r w:rsidR="00CD0FC3" w:rsidRPr="00E1048E">
        <w:rPr>
          <w:rFonts w:ascii="Arial" w:hAnsi="Arial" w:cs="Arial"/>
          <w:color w:val="000000" w:themeColor="text1"/>
          <w:sz w:val="24"/>
          <w:szCs w:val="24"/>
        </w:rPr>
        <w:t>across jurisdictions</w:t>
      </w:r>
      <w:r w:rsidRPr="00E1048E">
        <w:rPr>
          <w:rFonts w:ascii="Arial" w:hAnsi="Arial" w:cs="Arial"/>
          <w:color w:val="000000" w:themeColor="text1"/>
          <w:sz w:val="24"/>
          <w:szCs w:val="24"/>
        </w:rPr>
        <w:t xml:space="preserve">. </w:t>
      </w:r>
      <w:r w:rsidRPr="00E1048E">
        <w:rPr>
          <w:rStyle w:val="normaltextrun"/>
          <w:rFonts w:ascii="Arial" w:hAnsi="Arial" w:cs="Arial"/>
          <w:sz w:val="24"/>
          <w:szCs w:val="24"/>
        </w:rPr>
        <w:t xml:space="preserve">It is an in-person event, designed to provide invaluable networking opportunities to those working in these areas and to facilitate collaborative thinking and working.  </w:t>
      </w:r>
    </w:p>
    <w:p w14:paraId="179B9DB0" w14:textId="77777777" w:rsidR="00487E75" w:rsidRDefault="00487E75" w:rsidP="00487E75">
      <w:pPr>
        <w:jc w:val="both"/>
        <w:rPr>
          <w:rFonts w:ascii="Arial" w:hAnsi="Arial" w:cs="Arial"/>
          <w:sz w:val="24"/>
          <w:szCs w:val="24"/>
          <w:u w:val="single"/>
        </w:rPr>
      </w:pPr>
    </w:p>
    <w:p w14:paraId="2264FF75" w14:textId="3011028D" w:rsidR="00487E75" w:rsidRPr="00E1048E" w:rsidRDefault="00487E75" w:rsidP="00487E75">
      <w:pPr>
        <w:jc w:val="both"/>
        <w:rPr>
          <w:rFonts w:ascii="Arial" w:hAnsi="Arial" w:cs="Arial"/>
          <w:sz w:val="24"/>
          <w:szCs w:val="24"/>
          <w:u w:val="single"/>
        </w:rPr>
      </w:pPr>
      <w:r w:rsidRPr="00E1048E">
        <w:rPr>
          <w:rFonts w:ascii="Arial" w:hAnsi="Arial" w:cs="Arial"/>
          <w:sz w:val="24"/>
          <w:szCs w:val="24"/>
          <w:u w:val="single"/>
        </w:rPr>
        <w:t>Confirmed speakers:</w:t>
      </w:r>
    </w:p>
    <w:p w14:paraId="17A8F862" w14:textId="00C5DEF4" w:rsidR="00487E75" w:rsidRPr="00E1048E" w:rsidRDefault="00487E75" w:rsidP="00487E75">
      <w:pPr>
        <w:jc w:val="both"/>
        <w:rPr>
          <w:rFonts w:ascii="Arial" w:hAnsi="Arial" w:cs="Arial"/>
          <w:sz w:val="24"/>
          <w:szCs w:val="24"/>
        </w:rPr>
      </w:pPr>
      <w:r w:rsidRPr="00E1048E">
        <w:rPr>
          <w:rFonts w:ascii="Arial" w:hAnsi="Arial" w:cs="Arial"/>
          <w:sz w:val="24"/>
          <w:szCs w:val="24"/>
        </w:rPr>
        <w:t>We are grateful to the Society of Legal Scholars</w:t>
      </w:r>
      <w:r w:rsidR="00AD61FD">
        <w:rPr>
          <w:rFonts w:ascii="Arial" w:hAnsi="Arial" w:cs="Arial"/>
          <w:sz w:val="24"/>
          <w:szCs w:val="24"/>
        </w:rPr>
        <w:t xml:space="preserve"> and the </w:t>
      </w:r>
      <w:proofErr w:type="spellStart"/>
      <w:r w:rsidR="00AD61FD">
        <w:rPr>
          <w:rFonts w:ascii="Arial" w:hAnsi="Arial" w:cs="Arial"/>
          <w:sz w:val="24"/>
          <w:szCs w:val="24"/>
        </w:rPr>
        <w:t>ImpleMendez</w:t>
      </w:r>
      <w:proofErr w:type="spellEnd"/>
      <w:r w:rsidR="00AD61FD">
        <w:rPr>
          <w:rFonts w:ascii="Arial" w:hAnsi="Arial" w:cs="Arial"/>
          <w:sz w:val="24"/>
          <w:szCs w:val="24"/>
        </w:rPr>
        <w:t xml:space="preserve"> COST Action</w:t>
      </w:r>
      <w:r w:rsidRPr="00E1048E">
        <w:rPr>
          <w:rFonts w:ascii="Arial" w:hAnsi="Arial" w:cs="Arial"/>
          <w:sz w:val="24"/>
          <w:szCs w:val="24"/>
        </w:rPr>
        <w:t xml:space="preserve"> for funding that has enabled us to secure a fantastic line up of invited speakers.</w:t>
      </w:r>
    </w:p>
    <w:p w14:paraId="484D8904" w14:textId="77777777" w:rsidR="00487E75" w:rsidRPr="00E1048E" w:rsidRDefault="00487E75" w:rsidP="00487E75">
      <w:pPr>
        <w:spacing w:line="257" w:lineRule="auto"/>
        <w:jc w:val="both"/>
        <w:rPr>
          <w:rStyle w:val="normaltextrun"/>
          <w:rFonts w:ascii="Arial" w:hAnsi="Arial" w:cs="Arial"/>
          <w:sz w:val="24"/>
          <w:szCs w:val="24"/>
        </w:rPr>
      </w:pPr>
      <w:r w:rsidRPr="00E1048E">
        <w:rPr>
          <w:rStyle w:val="normaltextrun"/>
          <w:rFonts w:ascii="Arial" w:hAnsi="Arial" w:cs="Arial"/>
          <w:sz w:val="24"/>
          <w:szCs w:val="24"/>
        </w:rPr>
        <w:t>Key note:</w:t>
      </w:r>
    </w:p>
    <w:p w14:paraId="618E27E2" w14:textId="3906B6DA" w:rsidR="00487E75" w:rsidRPr="00E1048E" w:rsidRDefault="00487E75" w:rsidP="00487E75">
      <w:pPr>
        <w:spacing w:line="257" w:lineRule="auto"/>
        <w:jc w:val="both"/>
        <w:rPr>
          <w:rFonts w:ascii="Arial" w:eastAsia="Calibri" w:hAnsi="Arial" w:cs="Arial"/>
          <w:color w:val="000000"/>
          <w:sz w:val="24"/>
          <w:szCs w:val="24"/>
        </w:rPr>
      </w:pPr>
      <w:r w:rsidRPr="00E1048E">
        <w:rPr>
          <w:rStyle w:val="normaltextrun"/>
          <w:rFonts w:ascii="Arial" w:hAnsi="Arial" w:cs="Arial"/>
          <w:b/>
          <w:bCs/>
          <w:sz w:val="24"/>
          <w:szCs w:val="24"/>
        </w:rPr>
        <w:t xml:space="preserve">Professor </w:t>
      </w:r>
      <w:r w:rsidR="00AD61FD">
        <w:rPr>
          <w:rStyle w:val="normaltextrun"/>
          <w:rFonts w:ascii="Arial" w:hAnsi="Arial" w:cs="Arial"/>
          <w:b/>
          <w:bCs/>
          <w:sz w:val="24"/>
          <w:szCs w:val="24"/>
        </w:rPr>
        <w:t xml:space="preserve">Layla </w:t>
      </w:r>
      <w:proofErr w:type="spellStart"/>
      <w:r w:rsidR="00AD61FD">
        <w:rPr>
          <w:rStyle w:val="normaltextrun"/>
          <w:rFonts w:ascii="Arial" w:hAnsi="Arial" w:cs="Arial"/>
          <w:b/>
          <w:bCs/>
          <w:sz w:val="24"/>
          <w:szCs w:val="24"/>
        </w:rPr>
        <w:t>Skinns</w:t>
      </w:r>
      <w:proofErr w:type="spellEnd"/>
      <w:r w:rsidR="003A7C5A">
        <w:rPr>
          <w:rStyle w:val="normaltextrun"/>
          <w:rFonts w:ascii="Arial" w:hAnsi="Arial" w:cs="Arial"/>
          <w:b/>
          <w:bCs/>
          <w:sz w:val="24"/>
          <w:szCs w:val="24"/>
        </w:rPr>
        <w:t xml:space="preserve"> (University of Sheffield)</w:t>
      </w:r>
      <w:r w:rsidR="00AD61FD">
        <w:rPr>
          <w:rStyle w:val="normaltextrun"/>
          <w:rFonts w:ascii="Arial" w:hAnsi="Arial" w:cs="Arial"/>
          <w:b/>
          <w:bCs/>
          <w:sz w:val="24"/>
          <w:szCs w:val="24"/>
        </w:rPr>
        <w:t>:</w:t>
      </w:r>
      <w:r w:rsidR="00A53BEC">
        <w:rPr>
          <w:rStyle w:val="normaltextrun"/>
          <w:rFonts w:ascii="Arial" w:hAnsi="Arial" w:cs="Arial"/>
          <w:b/>
          <w:bCs/>
          <w:sz w:val="24"/>
          <w:szCs w:val="24"/>
        </w:rPr>
        <w:t xml:space="preserve"> </w:t>
      </w:r>
      <w:r w:rsidR="00A53BEC" w:rsidRPr="00A53BEC">
        <w:rPr>
          <w:rFonts w:ascii="Arial" w:hAnsi="Arial" w:cs="Arial"/>
          <w:b/>
          <w:bCs/>
          <w:sz w:val="24"/>
          <w:szCs w:val="24"/>
        </w:rPr>
        <w:t>Vulnerability, dignity and materiality: Joining up the dots and making an impact on police custody</w:t>
      </w:r>
    </w:p>
    <w:p w14:paraId="259CE33E" w14:textId="77777777" w:rsidR="00487E75" w:rsidRDefault="00487E75" w:rsidP="00487E75">
      <w:pPr>
        <w:spacing w:line="257" w:lineRule="auto"/>
        <w:jc w:val="both"/>
        <w:rPr>
          <w:rStyle w:val="normaltextrun"/>
          <w:rFonts w:ascii="Arial" w:hAnsi="Arial" w:cs="Arial"/>
          <w:sz w:val="24"/>
          <w:szCs w:val="24"/>
        </w:rPr>
      </w:pPr>
      <w:r w:rsidRPr="00E1048E">
        <w:rPr>
          <w:rStyle w:val="normaltextrun"/>
          <w:rFonts w:ascii="Arial" w:hAnsi="Arial" w:cs="Arial"/>
          <w:sz w:val="24"/>
          <w:szCs w:val="24"/>
        </w:rPr>
        <w:t>Session Speakers:</w:t>
      </w:r>
    </w:p>
    <w:p w14:paraId="185A0C59" w14:textId="5B9F2D3E" w:rsidR="00AD61FD" w:rsidRDefault="00AD61FD" w:rsidP="00487E75">
      <w:pPr>
        <w:spacing w:line="257" w:lineRule="auto"/>
        <w:jc w:val="both"/>
        <w:rPr>
          <w:rStyle w:val="normaltextrun"/>
          <w:rFonts w:ascii="Arial" w:hAnsi="Arial" w:cs="Arial"/>
          <w:b/>
          <w:bCs/>
          <w:sz w:val="24"/>
          <w:szCs w:val="24"/>
        </w:rPr>
      </w:pPr>
      <w:r>
        <w:rPr>
          <w:rStyle w:val="normaltextrun"/>
          <w:rFonts w:ascii="Arial" w:hAnsi="Arial" w:cs="Arial"/>
          <w:b/>
          <w:bCs/>
          <w:sz w:val="24"/>
          <w:szCs w:val="24"/>
        </w:rPr>
        <w:lastRenderedPageBreak/>
        <w:t xml:space="preserve">Dr Kate Doolin (University of Auckland, New Zealand) </w:t>
      </w:r>
    </w:p>
    <w:p w14:paraId="43BF5E4D" w14:textId="7D9AC0E9" w:rsidR="00AD61FD" w:rsidRDefault="00AD61FD" w:rsidP="00487E75">
      <w:pPr>
        <w:spacing w:line="257" w:lineRule="auto"/>
        <w:jc w:val="both"/>
        <w:rPr>
          <w:rStyle w:val="normaltextrun"/>
          <w:rFonts w:ascii="Arial" w:hAnsi="Arial" w:cs="Arial"/>
          <w:b/>
          <w:bCs/>
          <w:sz w:val="24"/>
          <w:szCs w:val="24"/>
        </w:rPr>
      </w:pPr>
      <w:r>
        <w:rPr>
          <w:rStyle w:val="normaltextrun"/>
          <w:rFonts w:ascii="Arial" w:hAnsi="Arial" w:cs="Arial"/>
          <w:b/>
          <w:bCs/>
          <w:sz w:val="24"/>
          <w:szCs w:val="24"/>
        </w:rPr>
        <w:t>Dr Katie Maras</w:t>
      </w:r>
      <w:r w:rsidR="003A7C5A">
        <w:rPr>
          <w:rStyle w:val="normaltextrun"/>
          <w:rFonts w:ascii="Arial" w:hAnsi="Arial" w:cs="Arial"/>
          <w:b/>
          <w:bCs/>
          <w:sz w:val="24"/>
          <w:szCs w:val="24"/>
        </w:rPr>
        <w:t xml:space="preserve"> and Dr Ralph Bagnall</w:t>
      </w:r>
      <w:r>
        <w:rPr>
          <w:rStyle w:val="normaltextrun"/>
          <w:rFonts w:ascii="Arial" w:hAnsi="Arial" w:cs="Arial"/>
          <w:b/>
          <w:bCs/>
          <w:sz w:val="24"/>
          <w:szCs w:val="24"/>
        </w:rPr>
        <w:t xml:space="preserve"> (University of Bath)</w:t>
      </w:r>
    </w:p>
    <w:p w14:paraId="217F50A2" w14:textId="4149040C" w:rsidR="00AD61FD" w:rsidRDefault="00AD61FD" w:rsidP="00487E75">
      <w:pPr>
        <w:spacing w:line="257" w:lineRule="auto"/>
        <w:jc w:val="both"/>
        <w:rPr>
          <w:rStyle w:val="normaltextrun"/>
          <w:rFonts w:ascii="Arial" w:hAnsi="Arial" w:cs="Arial"/>
          <w:b/>
          <w:bCs/>
          <w:sz w:val="24"/>
          <w:szCs w:val="24"/>
        </w:rPr>
      </w:pPr>
      <w:r w:rsidRPr="343A7E38">
        <w:rPr>
          <w:rStyle w:val="normaltextrun"/>
          <w:rFonts w:ascii="Arial" w:hAnsi="Arial" w:cs="Arial"/>
          <w:b/>
          <w:bCs/>
          <w:sz w:val="24"/>
          <w:szCs w:val="24"/>
        </w:rPr>
        <w:t>Dr Brendon O’Mahony (forensic psychologist and registered intermediary)</w:t>
      </w:r>
    </w:p>
    <w:p w14:paraId="20FC0055" w14:textId="7374EED7" w:rsidR="00B64A63" w:rsidRPr="00E1048E" w:rsidRDefault="00AD61FD" w:rsidP="1F9DCBEB">
      <w:pPr>
        <w:spacing w:line="257" w:lineRule="auto"/>
        <w:jc w:val="both"/>
        <w:rPr>
          <w:rStyle w:val="normaltextrun"/>
          <w:rFonts w:ascii="Arial" w:hAnsi="Arial" w:cs="Arial"/>
          <w:sz w:val="24"/>
          <w:szCs w:val="24"/>
          <w:u w:val="single"/>
        </w:rPr>
      </w:pPr>
      <w:r w:rsidRPr="1F9DCBEB">
        <w:rPr>
          <w:rStyle w:val="normaltextrun"/>
          <w:rFonts w:ascii="Arial" w:hAnsi="Arial" w:cs="Arial"/>
          <w:b/>
          <w:bCs/>
          <w:sz w:val="24"/>
          <w:szCs w:val="24"/>
        </w:rPr>
        <w:t>Dr Jon Robbins (University of Brighton and founding editor of The Justice Gap)</w:t>
      </w:r>
      <w:r w:rsidR="003A7C5A" w:rsidRPr="1F9DCBEB">
        <w:rPr>
          <w:rStyle w:val="normaltextrun"/>
          <w:rFonts w:ascii="Arial" w:hAnsi="Arial" w:cs="Arial"/>
          <w:b/>
          <w:bCs/>
          <w:sz w:val="24"/>
          <w:szCs w:val="24"/>
        </w:rPr>
        <w:t xml:space="preserve"> </w:t>
      </w:r>
    </w:p>
    <w:p w14:paraId="6B56DFD3" w14:textId="385A056E" w:rsidR="00B64A63" w:rsidRPr="00E1048E" w:rsidRDefault="00B64A63" w:rsidP="1F9DCBEB">
      <w:pPr>
        <w:spacing w:line="257" w:lineRule="auto"/>
        <w:jc w:val="both"/>
        <w:rPr>
          <w:rStyle w:val="normaltextrun"/>
          <w:rFonts w:ascii="Arial" w:hAnsi="Arial" w:cs="Arial"/>
          <w:sz w:val="24"/>
          <w:szCs w:val="24"/>
          <w:u w:val="single"/>
        </w:rPr>
      </w:pPr>
      <w:r w:rsidRPr="1F9DCBEB">
        <w:rPr>
          <w:rStyle w:val="normaltextrun"/>
          <w:rFonts w:ascii="Arial" w:hAnsi="Arial" w:cs="Arial"/>
          <w:sz w:val="24"/>
          <w:szCs w:val="24"/>
          <w:u w:val="single"/>
        </w:rPr>
        <w:t xml:space="preserve">Call for papers: </w:t>
      </w:r>
      <w:r w:rsidR="00AD61FD" w:rsidRPr="1F9DCBEB">
        <w:rPr>
          <w:rStyle w:val="normaltextrun"/>
          <w:rFonts w:ascii="Arial" w:hAnsi="Arial" w:cs="Arial"/>
          <w:sz w:val="24"/>
          <w:szCs w:val="24"/>
          <w:u w:val="single"/>
        </w:rPr>
        <w:t xml:space="preserve">deadline </w:t>
      </w:r>
      <w:r w:rsidR="73B49F8E" w:rsidRPr="1F9DCBEB">
        <w:rPr>
          <w:rStyle w:val="normaltextrun"/>
          <w:rFonts w:ascii="Arial" w:hAnsi="Arial" w:cs="Arial"/>
          <w:sz w:val="24"/>
          <w:szCs w:val="24"/>
          <w:u w:val="single"/>
        </w:rPr>
        <w:t>2 June 2025</w:t>
      </w:r>
    </w:p>
    <w:p w14:paraId="331755D6" w14:textId="70B1AD6B" w:rsidR="00304887" w:rsidRPr="00E1048E" w:rsidRDefault="00304887" w:rsidP="00304887">
      <w:pPr>
        <w:jc w:val="both"/>
        <w:rPr>
          <w:rStyle w:val="normaltextrun"/>
          <w:rFonts w:ascii="Arial" w:hAnsi="Arial" w:cs="Arial"/>
          <w:sz w:val="24"/>
          <w:szCs w:val="24"/>
        </w:rPr>
      </w:pPr>
      <w:r w:rsidRPr="00E1048E">
        <w:rPr>
          <w:rStyle w:val="normaltextrun"/>
          <w:rFonts w:ascii="Arial" w:hAnsi="Arial" w:cs="Arial"/>
          <w:sz w:val="24"/>
          <w:szCs w:val="24"/>
        </w:rPr>
        <w:t>We welcome papers from a range of socio-legal, theoretical, doctrinal, empirical, comparative, and interdisciplinary perspectives, from individuals at all career stages</w:t>
      </w:r>
      <w:r w:rsidR="00CD0FC3" w:rsidRPr="00E1048E">
        <w:rPr>
          <w:rStyle w:val="normaltextrun"/>
          <w:rFonts w:ascii="Arial" w:hAnsi="Arial" w:cs="Arial"/>
          <w:sz w:val="24"/>
          <w:szCs w:val="24"/>
        </w:rPr>
        <w:t xml:space="preserve"> (</w:t>
      </w:r>
      <w:r w:rsidRPr="00E1048E">
        <w:rPr>
          <w:rStyle w:val="normaltextrun"/>
          <w:rFonts w:ascii="Arial" w:hAnsi="Arial" w:cs="Arial"/>
          <w:sz w:val="24"/>
          <w:szCs w:val="24"/>
        </w:rPr>
        <w:t>including PGR/ECRs</w:t>
      </w:r>
      <w:r w:rsidR="00CD0FC3" w:rsidRPr="00E1048E">
        <w:rPr>
          <w:rStyle w:val="normaltextrun"/>
          <w:rFonts w:ascii="Arial" w:hAnsi="Arial" w:cs="Arial"/>
          <w:sz w:val="24"/>
          <w:szCs w:val="24"/>
        </w:rPr>
        <w:t>),</w:t>
      </w:r>
      <w:r w:rsidRPr="00E1048E">
        <w:rPr>
          <w:rStyle w:val="normaltextrun"/>
          <w:rFonts w:ascii="Arial" w:hAnsi="Arial" w:cs="Arial"/>
          <w:sz w:val="24"/>
          <w:szCs w:val="24"/>
        </w:rPr>
        <w:t xml:space="preserve"> and from jurisdictions within and outside of the UK. Relevant topics include, but are not limited to: </w:t>
      </w:r>
    </w:p>
    <w:p w14:paraId="787DEF94" w14:textId="4ACC6462" w:rsidR="00304887" w:rsidRPr="00E1048E" w:rsidRDefault="00304887" w:rsidP="00304887">
      <w:pPr>
        <w:pStyle w:val="ListParagraph"/>
        <w:numPr>
          <w:ilvl w:val="0"/>
          <w:numId w:val="1"/>
        </w:numPr>
        <w:jc w:val="both"/>
        <w:rPr>
          <w:rStyle w:val="normaltextrun"/>
          <w:rFonts w:ascii="Arial" w:hAnsi="Arial" w:cs="Arial"/>
          <w:sz w:val="24"/>
          <w:szCs w:val="24"/>
        </w:rPr>
      </w:pPr>
      <w:r w:rsidRPr="00E1048E">
        <w:rPr>
          <w:rStyle w:val="normaltextrun"/>
          <w:rFonts w:ascii="Arial" w:hAnsi="Arial" w:cs="Arial"/>
          <w:sz w:val="24"/>
          <w:szCs w:val="24"/>
        </w:rPr>
        <w:t>The conceptualisation of vulnerability for suspect/defendant populations.</w:t>
      </w:r>
    </w:p>
    <w:p w14:paraId="5DD20D16" w14:textId="77777777" w:rsidR="00304887" w:rsidRPr="00E1048E" w:rsidRDefault="00304887" w:rsidP="00304887">
      <w:pPr>
        <w:pStyle w:val="ListParagraph"/>
        <w:numPr>
          <w:ilvl w:val="0"/>
          <w:numId w:val="1"/>
        </w:numPr>
        <w:jc w:val="both"/>
        <w:rPr>
          <w:rStyle w:val="normaltextrun"/>
          <w:rFonts w:ascii="Arial" w:hAnsi="Arial" w:cs="Arial"/>
          <w:sz w:val="24"/>
          <w:szCs w:val="24"/>
        </w:rPr>
      </w:pPr>
      <w:r w:rsidRPr="00E1048E">
        <w:rPr>
          <w:rStyle w:val="normaltextrun"/>
          <w:rFonts w:ascii="Arial" w:hAnsi="Arial" w:cs="Arial"/>
          <w:sz w:val="24"/>
          <w:szCs w:val="24"/>
        </w:rPr>
        <w:t>The identification of vulnerability among these groups.</w:t>
      </w:r>
    </w:p>
    <w:p w14:paraId="163052A1" w14:textId="1AEE4F88" w:rsidR="00304887" w:rsidRPr="00E1048E" w:rsidRDefault="00304887" w:rsidP="00304887">
      <w:pPr>
        <w:pStyle w:val="ListParagraph"/>
        <w:numPr>
          <w:ilvl w:val="0"/>
          <w:numId w:val="1"/>
        </w:numPr>
        <w:jc w:val="both"/>
        <w:rPr>
          <w:rStyle w:val="normaltextrun"/>
          <w:rFonts w:ascii="Arial" w:hAnsi="Arial" w:cs="Arial"/>
          <w:sz w:val="24"/>
          <w:szCs w:val="24"/>
        </w:rPr>
      </w:pPr>
      <w:r w:rsidRPr="00E1048E">
        <w:rPr>
          <w:rStyle w:val="normaltextrun"/>
          <w:rFonts w:ascii="Arial" w:hAnsi="Arial" w:cs="Arial"/>
          <w:sz w:val="24"/>
          <w:szCs w:val="24"/>
        </w:rPr>
        <w:t xml:space="preserve">Issues relevant to specific stages of the process, </w:t>
      </w:r>
      <w:r w:rsidRPr="00E1048E">
        <w:rPr>
          <w:rFonts w:ascii="Arial" w:hAnsi="Arial" w:cs="Arial"/>
          <w:sz w:val="24"/>
          <w:szCs w:val="24"/>
        </w:rPr>
        <w:t>for example from first contact with the police (stop and search/voluntary interview/interview under caution/arrest); post-charge (plea/bail decisions); at trial (Youth Court/magistrates’/Crown court trials or equivalent jurisdictional distinctions); and post-verdict (post-acquittal/conviction/sentencing/experience in custody, etc)</w:t>
      </w:r>
      <w:r w:rsidR="00CD0FC3" w:rsidRPr="00E1048E">
        <w:rPr>
          <w:rFonts w:ascii="Arial" w:hAnsi="Arial" w:cs="Arial"/>
          <w:sz w:val="24"/>
          <w:szCs w:val="24"/>
        </w:rPr>
        <w:t>.</w:t>
      </w:r>
      <w:r w:rsidRPr="00E1048E">
        <w:rPr>
          <w:rFonts w:ascii="Arial" w:hAnsi="Arial" w:cs="Arial"/>
          <w:sz w:val="24"/>
          <w:szCs w:val="24"/>
        </w:rPr>
        <w:t xml:space="preserve"> </w:t>
      </w:r>
      <w:r w:rsidR="00AD61FD">
        <w:rPr>
          <w:rFonts w:ascii="Arial" w:hAnsi="Arial" w:cs="Arial"/>
          <w:sz w:val="24"/>
          <w:szCs w:val="24"/>
        </w:rPr>
        <w:tab/>
      </w:r>
    </w:p>
    <w:p w14:paraId="5BECF59D" w14:textId="3A0EA1FA" w:rsidR="00304887" w:rsidRPr="00E1048E" w:rsidRDefault="00304887" w:rsidP="00304887">
      <w:pPr>
        <w:pStyle w:val="ListParagraph"/>
        <w:numPr>
          <w:ilvl w:val="0"/>
          <w:numId w:val="1"/>
        </w:numPr>
        <w:jc w:val="both"/>
        <w:rPr>
          <w:rStyle w:val="normaltextrun"/>
          <w:rFonts w:ascii="Arial" w:hAnsi="Arial" w:cs="Arial"/>
          <w:sz w:val="24"/>
          <w:szCs w:val="24"/>
        </w:rPr>
      </w:pPr>
      <w:r w:rsidRPr="00E1048E">
        <w:rPr>
          <w:rStyle w:val="normaltextrun"/>
          <w:rFonts w:ascii="Arial" w:hAnsi="Arial" w:cs="Arial"/>
          <w:sz w:val="24"/>
          <w:szCs w:val="24"/>
        </w:rPr>
        <w:t>Legal responses to vulnerability and their suitability/use in practice (for example appropriate adults, legal representation, special measures, Ground Rules Hearings, reasonable adjustments)</w:t>
      </w:r>
      <w:r w:rsidR="00CD0FC3" w:rsidRPr="00E1048E">
        <w:rPr>
          <w:rStyle w:val="normaltextrun"/>
          <w:rFonts w:ascii="Arial" w:hAnsi="Arial" w:cs="Arial"/>
          <w:sz w:val="24"/>
          <w:szCs w:val="24"/>
        </w:rPr>
        <w:t>.</w:t>
      </w:r>
    </w:p>
    <w:p w14:paraId="4983BE2A" w14:textId="26A18933" w:rsidR="00304887" w:rsidRPr="00E1048E" w:rsidRDefault="00304887" w:rsidP="00304887">
      <w:pPr>
        <w:pStyle w:val="ListParagraph"/>
        <w:numPr>
          <w:ilvl w:val="0"/>
          <w:numId w:val="1"/>
        </w:numPr>
        <w:jc w:val="both"/>
        <w:rPr>
          <w:rStyle w:val="normaltextrun"/>
          <w:rFonts w:ascii="Arial" w:hAnsi="Arial" w:cs="Arial"/>
          <w:sz w:val="24"/>
          <w:szCs w:val="24"/>
        </w:rPr>
      </w:pPr>
      <w:r w:rsidRPr="00E1048E">
        <w:rPr>
          <w:rStyle w:val="normaltextrun"/>
          <w:rFonts w:ascii="Arial" w:hAnsi="Arial" w:cs="Arial"/>
          <w:sz w:val="24"/>
          <w:szCs w:val="24"/>
        </w:rPr>
        <w:t xml:space="preserve">Barriers to participation among vulnerable suspects and defendants. </w:t>
      </w:r>
    </w:p>
    <w:p w14:paraId="05533A1B" w14:textId="015BCE86" w:rsidR="00304887" w:rsidRPr="00E1048E" w:rsidRDefault="00304887" w:rsidP="00304887">
      <w:pPr>
        <w:pStyle w:val="ListParagraph"/>
        <w:numPr>
          <w:ilvl w:val="0"/>
          <w:numId w:val="1"/>
        </w:numPr>
        <w:jc w:val="both"/>
        <w:rPr>
          <w:rStyle w:val="normaltextrun"/>
          <w:rFonts w:ascii="Arial" w:hAnsi="Arial" w:cs="Arial"/>
          <w:sz w:val="24"/>
          <w:szCs w:val="24"/>
        </w:rPr>
      </w:pPr>
      <w:r w:rsidRPr="00E1048E">
        <w:rPr>
          <w:rStyle w:val="normaltextrun"/>
          <w:rFonts w:ascii="Arial" w:hAnsi="Arial" w:cs="Arial"/>
          <w:sz w:val="24"/>
          <w:szCs w:val="24"/>
        </w:rPr>
        <w:t>The experiences of vulnerable suspects/defendants</w:t>
      </w:r>
      <w:r w:rsidR="00CD0FC3" w:rsidRPr="00E1048E">
        <w:rPr>
          <w:rStyle w:val="normaltextrun"/>
          <w:rFonts w:ascii="Arial" w:hAnsi="Arial" w:cs="Arial"/>
          <w:sz w:val="24"/>
          <w:szCs w:val="24"/>
        </w:rPr>
        <w:t>.</w:t>
      </w:r>
    </w:p>
    <w:p w14:paraId="36307513" w14:textId="24C74DEA" w:rsidR="00304887" w:rsidRDefault="00304887" w:rsidP="00304887">
      <w:pPr>
        <w:pStyle w:val="ListParagraph"/>
        <w:numPr>
          <w:ilvl w:val="0"/>
          <w:numId w:val="1"/>
        </w:numPr>
        <w:jc w:val="both"/>
        <w:rPr>
          <w:rStyle w:val="normaltextrun"/>
          <w:rFonts w:ascii="Arial" w:hAnsi="Arial" w:cs="Arial"/>
          <w:sz w:val="24"/>
          <w:szCs w:val="24"/>
        </w:rPr>
      </w:pPr>
      <w:r w:rsidRPr="00E1048E">
        <w:rPr>
          <w:rStyle w:val="normaltextrun"/>
          <w:rFonts w:ascii="Arial" w:hAnsi="Arial" w:cs="Arial"/>
          <w:sz w:val="24"/>
          <w:szCs w:val="24"/>
        </w:rPr>
        <w:t xml:space="preserve">Issues around resources and the provision of adequate support to relevant individuals. </w:t>
      </w:r>
    </w:p>
    <w:p w14:paraId="0D04CB80" w14:textId="0B0C437A" w:rsidR="00E1048E" w:rsidRPr="00E1048E" w:rsidRDefault="00E1048E" w:rsidP="5381F493">
      <w:pPr>
        <w:jc w:val="both"/>
        <w:rPr>
          <w:rStyle w:val="normaltextrun"/>
          <w:rFonts w:ascii="Arial" w:eastAsia="Arial" w:hAnsi="Arial" w:cs="Arial"/>
          <w:b/>
          <w:bCs/>
          <w:sz w:val="24"/>
          <w:szCs w:val="24"/>
        </w:rPr>
      </w:pPr>
      <w:r w:rsidRPr="5381F493">
        <w:rPr>
          <w:rStyle w:val="normaltextrun"/>
          <w:rFonts w:ascii="Arial" w:eastAsia="Arial" w:hAnsi="Arial" w:cs="Arial"/>
          <w:sz w:val="24"/>
          <w:szCs w:val="24"/>
        </w:rPr>
        <w:t>Abstracts should be 250 words long, include a title, and speaker details (name, affiliation</w:t>
      </w:r>
      <w:r w:rsidR="00487E75" w:rsidRPr="5381F493">
        <w:rPr>
          <w:rStyle w:val="normaltextrun"/>
          <w:rFonts w:ascii="Arial" w:eastAsia="Arial" w:hAnsi="Arial" w:cs="Arial"/>
          <w:sz w:val="24"/>
          <w:szCs w:val="24"/>
        </w:rPr>
        <w:t>, email address</w:t>
      </w:r>
      <w:r w:rsidRPr="5381F493">
        <w:rPr>
          <w:rStyle w:val="normaltextrun"/>
          <w:rFonts w:ascii="Arial" w:eastAsia="Arial" w:hAnsi="Arial" w:cs="Arial"/>
          <w:sz w:val="24"/>
          <w:szCs w:val="24"/>
        </w:rPr>
        <w:t>).</w:t>
      </w:r>
      <w:r w:rsidR="0041269A" w:rsidRPr="5381F493">
        <w:rPr>
          <w:rStyle w:val="normaltextrun"/>
          <w:rFonts w:ascii="Arial" w:eastAsia="Arial" w:hAnsi="Arial" w:cs="Arial"/>
          <w:sz w:val="24"/>
          <w:szCs w:val="24"/>
        </w:rPr>
        <w:t xml:space="preserve"> </w:t>
      </w:r>
      <w:r w:rsidR="0041269A" w:rsidRPr="5381F493">
        <w:rPr>
          <w:rStyle w:val="normaltextrun"/>
          <w:rFonts w:ascii="Arial" w:eastAsia="Arial" w:hAnsi="Arial" w:cs="Arial"/>
          <w:b/>
          <w:bCs/>
          <w:sz w:val="24"/>
          <w:szCs w:val="24"/>
        </w:rPr>
        <w:t xml:space="preserve">Please submit to </w:t>
      </w:r>
      <w:hyperlink r:id="rId11">
        <w:r w:rsidR="00645CEA" w:rsidRPr="05179C77">
          <w:rPr>
            <w:rStyle w:val="Hyperlink"/>
            <w:rFonts w:ascii="Arial" w:eastAsia="Arial" w:hAnsi="Arial" w:cs="Arial"/>
            <w:color w:val="467886"/>
            <w:sz w:val="24"/>
            <w:szCs w:val="24"/>
          </w:rPr>
          <w:t>VACJSConference@cardiff.ac.uk</w:t>
        </w:r>
      </w:hyperlink>
    </w:p>
    <w:p w14:paraId="5D3B1ACC" w14:textId="68DA85A6" w:rsidR="00B64A63" w:rsidRDefault="00B64A63" w:rsidP="00304887">
      <w:pPr>
        <w:jc w:val="both"/>
        <w:rPr>
          <w:rFonts w:ascii="Arial" w:hAnsi="Arial" w:cs="Arial"/>
          <w:sz w:val="24"/>
          <w:szCs w:val="24"/>
          <w:u w:val="single"/>
        </w:rPr>
      </w:pPr>
    </w:p>
    <w:p w14:paraId="224615A3" w14:textId="77777777" w:rsidR="00487E75" w:rsidRPr="00E1048E" w:rsidRDefault="00487E75" w:rsidP="00304887">
      <w:pPr>
        <w:jc w:val="both"/>
        <w:rPr>
          <w:rFonts w:ascii="Arial" w:hAnsi="Arial" w:cs="Arial"/>
          <w:sz w:val="24"/>
          <w:szCs w:val="24"/>
          <w:u w:val="single"/>
        </w:rPr>
      </w:pPr>
    </w:p>
    <w:p w14:paraId="10D67CF2" w14:textId="69683160" w:rsidR="00CD0FC3" w:rsidRPr="00E1048E" w:rsidRDefault="00CD0FC3" w:rsidP="00304887">
      <w:pPr>
        <w:jc w:val="both"/>
        <w:rPr>
          <w:rFonts w:ascii="Arial" w:hAnsi="Arial" w:cs="Arial"/>
          <w:sz w:val="24"/>
          <w:szCs w:val="24"/>
          <w:u w:val="single"/>
        </w:rPr>
      </w:pPr>
      <w:r w:rsidRPr="00E1048E">
        <w:rPr>
          <w:rFonts w:ascii="Arial" w:hAnsi="Arial" w:cs="Arial"/>
          <w:sz w:val="24"/>
          <w:szCs w:val="24"/>
          <w:u w:val="single"/>
        </w:rPr>
        <w:t>Key dates</w:t>
      </w:r>
    </w:p>
    <w:tbl>
      <w:tblPr>
        <w:tblStyle w:val="TableGrid"/>
        <w:tblW w:w="0" w:type="auto"/>
        <w:tblLook w:val="04A0" w:firstRow="1" w:lastRow="0" w:firstColumn="1" w:lastColumn="0" w:noHBand="0" w:noVBand="1"/>
      </w:tblPr>
      <w:tblGrid>
        <w:gridCol w:w="4508"/>
        <w:gridCol w:w="4508"/>
      </w:tblGrid>
      <w:tr w:rsidR="00E1048E" w:rsidRPr="00E1048E" w14:paraId="014B930A" w14:textId="77777777" w:rsidTr="4D16E69C">
        <w:tc>
          <w:tcPr>
            <w:tcW w:w="4508" w:type="dxa"/>
          </w:tcPr>
          <w:p w14:paraId="1327FFC2" w14:textId="77777777" w:rsidR="00E1048E" w:rsidRPr="00E1048E" w:rsidRDefault="00E1048E" w:rsidP="00304887">
            <w:pPr>
              <w:jc w:val="both"/>
              <w:rPr>
                <w:rFonts w:ascii="Arial" w:hAnsi="Arial" w:cs="Arial"/>
                <w:sz w:val="24"/>
                <w:szCs w:val="24"/>
              </w:rPr>
            </w:pPr>
          </w:p>
        </w:tc>
        <w:tc>
          <w:tcPr>
            <w:tcW w:w="4508" w:type="dxa"/>
          </w:tcPr>
          <w:p w14:paraId="008B7672" w14:textId="77777777" w:rsidR="00E1048E" w:rsidRPr="00E1048E" w:rsidRDefault="00E1048E" w:rsidP="00304887">
            <w:pPr>
              <w:jc w:val="both"/>
              <w:rPr>
                <w:rFonts w:ascii="Arial" w:hAnsi="Arial" w:cs="Arial"/>
                <w:sz w:val="24"/>
                <w:szCs w:val="24"/>
              </w:rPr>
            </w:pPr>
          </w:p>
        </w:tc>
      </w:tr>
      <w:tr w:rsidR="00E1048E" w:rsidRPr="00E1048E" w14:paraId="4CAFBD81" w14:textId="77777777" w:rsidTr="4D16E69C">
        <w:tc>
          <w:tcPr>
            <w:tcW w:w="4508" w:type="dxa"/>
          </w:tcPr>
          <w:p w14:paraId="4B548CC6" w14:textId="7CDD7DFD" w:rsidR="00E1048E" w:rsidRPr="00E1048E" w:rsidRDefault="3FF5066F" w:rsidP="00304887">
            <w:pPr>
              <w:jc w:val="both"/>
              <w:rPr>
                <w:rFonts w:ascii="Arial" w:hAnsi="Arial" w:cs="Arial"/>
                <w:sz w:val="24"/>
                <w:szCs w:val="24"/>
              </w:rPr>
            </w:pPr>
            <w:r w:rsidRPr="4D16E69C">
              <w:rPr>
                <w:rFonts w:ascii="Arial" w:hAnsi="Arial" w:cs="Arial"/>
                <w:sz w:val="24"/>
                <w:szCs w:val="24"/>
              </w:rPr>
              <w:t xml:space="preserve">15 </w:t>
            </w:r>
            <w:r w:rsidR="00AD61FD" w:rsidRPr="4D16E69C">
              <w:rPr>
                <w:rFonts w:ascii="Arial" w:hAnsi="Arial" w:cs="Arial"/>
                <w:sz w:val="24"/>
                <w:szCs w:val="24"/>
              </w:rPr>
              <w:t>April 2025</w:t>
            </w:r>
          </w:p>
        </w:tc>
        <w:tc>
          <w:tcPr>
            <w:tcW w:w="4508" w:type="dxa"/>
          </w:tcPr>
          <w:p w14:paraId="05A9585E" w14:textId="67AFB563" w:rsidR="00E1048E" w:rsidRPr="00E1048E" w:rsidRDefault="00E1048E" w:rsidP="00304887">
            <w:pPr>
              <w:jc w:val="both"/>
              <w:rPr>
                <w:rFonts w:ascii="Arial" w:hAnsi="Arial" w:cs="Arial"/>
                <w:sz w:val="24"/>
                <w:szCs w:val="24"/>
              </w:rPr>
            </w:pPr>
            <w:r w:rsidRPr="00E1048E">
              <w:rPr>
                <w:rFonts w:ascii="Arial" w:hAnsi="Arial" w:cs="Arial"/>
                <w:sz w:val="24"/>
                <w:szCs w:val="24"/>
              </w:rPr>
              <w:t>Call for papers published</w:t>
            </w:r>
          </w:p>
        </w:tc>
      </w:tr>
      <w:tr w:rsidR="00E1048E" w:rsidRPr="00E1048E" w14:paraId="065BC894" w14:textId="77777777" w:rsidTr="4D16E69C">
        <w:tc>
          <w:tcPr>
            <w:tcW w:w="4508" w:type="dxa"/>
          </w:tcPr>
          <w:p w14:paraId="0D05CFEA" w14:textId="2CA73682" w:rsidR="00E1048E" w:rsidRPr="00E1048E" w:rsidRDefault="13CC3D5E" w:rsidP="05179C77">
            <w:pPr>
              <w:jc w:val="both"/>
            </w:pPr>
            <w:r w:rsidRPr="4D16E69C">
              <w:rPr>
                <w:rFonts w:ascii="Arial" w:hAnsi="Arial" w:cs="Arial"/>
                <w:sz w:val="24"/>
                <w:szCs w:val="24"/>
              </w:rPr>
              <w:t>2</w:t>
            </w:r>
            <w:r w:rsidR="3A0D15DC" w:rsidRPr="4D16E69C">
              <w:rPr>
                <w:rFonts w:ascii="Arial" w:hAnsi="Arial" w:cs="Arial"/>
                <w:sz w:val="24"/>
                <w:szCs w:val="24"/>
              </w:rPr>
              <w:t xml:space="preserve"> </w:t>
            </w:r>
            <w:r w:rsidRPr="4D16E69C">
              <w:rPr>
                <w:rFonts w:ascii="Arial" w:hAnsi="Arial" w:cs="Arial"/>
                <w:sz w:val="24"/>
                <w:szCs w:val="24"/>
              </w:rPr>
              <w:t>June 2025</w:t>
            </w:r>
          </w:p>
        </w:tc>
        <w:tc>
          <w:tcPr>
            <w:tcW w:w="4508" w:type="dxa"/>
          </w:tcPr>
          <w:p w14:paraId="3305F383" w14:textId="4FE81CE9" w:rsidR="00E1048E" w:rsidRPr="00E1048E" w:rsidRDefault="00E1048E" w:rsidP="00304887">
            <w:pPr>
              <w:jc w:val="both"/>
              <w:rPr>
                <w:rFonts w:ascii="Arial" w:hAnsi="Arial" w:cs="Arial"/>
                <w:sz w:val="24"/>
                <w:szCs w:val="24"/>
              </w:rPr>
            </w:pPr>
            <w:r w:rsidRPr="00E1048E">
              <w:rPr>
                <w:rFonts w:ascii="Arial" w:hAnsi="Arial" w:cs="Arial"/>
                <w:sz w:val="24"/>
                <w:szCs w:val="24"/>
              </w:rPr>
              <w:t>Deadline for abstract submission</w:t>
            </w:r>
          </w:p>
        </w:tc>
      </w:tr>
      <w:tr w:rsidR="00E1048E" w:rsidRPr="00E1048E" w14:paraId="1CF9A861" w14:textId="77777777" w:rsidTr="4D16E69C">
        <w:tc>
          <w:tcPr>
            <w:tcW w:w="4508" w:type="dxa"/>
          </w:tcPr>
          <w:p w14:paraId="0A2A7D08" w14:textId="4D5C3BE6" w:rsidR="00E1048E" w:rsidRPr="00E1048E" w:rsidRDefault="3D2C1AA1" w:rsidP="00304887">
            <w:pPr>
              <w:jc w:val="both"/>
              <w:rPr>
                <w:rFonts w:ascii="Arial" w:hAnsi="Arial" w:cs="Arial"/>
                <w:sz w:val="24"/>
                <w:szCs w:val="24"/>
              </w:rPr>
            </w:pPr>
            <w:r w:rsidRPr="4D16E69C">
              <w:rPr>
                <w:rFonts w:ascii="Arial" w:hAnsi="Arial" w:cs="Arial"/>
                <w:sz w:val="24"/>
                <w:szCs w:val="24"/>
              </w:rPr>
              <w:t>13</w:t>
            </w:r>
            <w:r w:rsidR="70056D75" w:rsidRPr="4D16E69C">
              <w:rPr>
                <w:rFonts w:ascii="Arial" w:hAnsi="Arial" w:cs="Arial"/>
                <w:sz w:val="24"/>
                <w:szCs w:val="24"/>
              </w:rPr>
              <w:t xml:space="preserve"> </w:t>
            </w:r>
            <w:r w:rsidR="00AD61FD" w:rsidRPr="4D16E69C">
              <w:rPr>
                <w:rFonts w:ascii="Arial" w:hAnsi="Arial" w:cs="Arial"/>
                <w:sz w:val="24"/>
                <w:szCs w:val="24"/>
              </w:rPr>
              <w:t>June 2025</w:t>
            </w:r>
          </w:p>
        </w:tc>
        <w:tc>
          <w:tcPr>
            <w:tcW w:w="4508" w:type="dxa"/>
          </w:tcPr>
          <w:p w14:paraId="1B0B5647" w14:textId="78D96033" w:rsidR="00E1048E" w:rsidRPr="00E1048E" w:rsidRDefault="00E1048E" w:rsidP="00304887">
            <w:pPr>
              <w:jc w:val="both"/>
              <w:rPr>
                <w:rFonts w:ascii="Arial" w:hAnsi="Arial" w:cs="Arial"/>
                <w:sz w:val="24"/>
                <w:szCs w:val="24"/>
              </w:rPr>
            </w:pPr>
            <w:r w:rsidRPr="00E1048E">
              <w:rPr>
                <w:rFonts w:ascii="Arial" w:hAnsi="Arial" w:cs="Arial"/>
                <w:sz w:val="24"/>
                <w:szCs w:val="24"/>
              </w:rPr>
              <w:t>Applicants notified of success</w:t>
            </w:r>
          </w:p>
        </w:tc>
      </w:tr>
      <w:tr w:rsidR="00E1048E" w:rsidRPr="00E1048E" w14:paraId="708DF1A7" w14:textId="77777777" w:rsidTr="4D16E69C">
        <w:tc>
          <w:tcPr>
            <w:tcW w:w="4508" w:type="dxa"/>
          </w:tcPr>
          <w:p w14:paraId="30BD48C3" w14:textId="0E18CF2B" w:rsidR="00E1048E" w:rsidRPr="00E1048E" w:rsidRDefault="69F1CCE5" w:rsidP="00304887">
            <w:pPr>
              <w:jc w:val="both"/>
              <w:rPr>
                <w:rFonts w:ascii="Arial" w:hAnsi="Arial" w:cs="Arial"/>
                <w:sz w:val="24"/>
                <w:szCs w:val="24"/>
              </w:rPr>
            </w:pPr>
            <w:r w:rsidRPr="4D16E69C">
              <w:rPr>
                <w:rFonts w:ascii="Arial" w:hAnsi="Arial" w:cs="Arial"/>
                <w:sz w:val="24"/>
                <w:szCs w:val="24"/>
              </w:rPr>
              <w:t>13 June 2025</w:t>
            </w:r>
          </w:p>
        </w:tc>
        <w:tc>
          <w:tcPr>
            <w:tcW w:w="4508" w:type="dxa"/>
          </w:tcPr>
          <w:p w14:paraId="689D2B2B" w14:textId="5440CAD9" w:rsidR="00E1048E" w:rsidRPr="00E1048E" w:rsidRDefault="00E1048E" w:rsidP="00304887">
            <w:pPr>
              <w:jc w:val="both"/>
              <w:rPr>
                <w:rFonts w:ascii="Arial" w:hAnsi="Arial" w:cs="Arial"/>
                <w:sz w:val="24"/>
                <w:szCs w:val="24"/>
              </w:rPr>
            </w:pPr>
            <w:r w:rsidRPr="00E1048E">
              <w:rPr>
                <w:rFonts w:ascii="Arial" w:hAnsi="Arial" w:cs="Arial"/>
                <w:sz w:val="24"/>
                <w:szCs w:val="24"/>
              </w:rPr>
              <w:t>Registration opens</w:t>
            </w:r>
            <w:r w:rsidR="006E21CE">
              <w:rPr>
                <w:rFonts w:ascii="Arial" w:hAnsi="Arial" w:cs="Arial"/>
                <w:sz w:val="24"/>
                <w:szCs w:val="24"/>
              </w:rPr>
              <w:t xml:space="preserve"> </w:t>
            </w:r>
          </w:p>
        </w:tc>
      </w:tr>
      <w:tr w:rsidR="00E1048E" w:rsidRPr="00E1048E" w14:paraId="6C04D31C" w14:textId="77777777" w:rsidTr="4D16E69C">
        <w:tc>
          <w:tcPr>
            <w:tcW w:w="4508" w:type="dxa"/>
          </w:tcPr>
          <w:p w14:paraId="107C7621" w14:textId="02EDE9A0" w:rsidR="00E1048E" w:rsidRPr="00E1048E" w:rsidRDefault="00AD61FD" w:rsidP="00304887">
            <w:pPr>
              <w:jc w:val="both"/>
              <w:rPr>
                <w:rFonts w:ascii="Arial" w:hAnsi="Arial" w:cs="Arial"/>
                <w:sz w:val="24"/>
                <w:szCs w:val="24"/>
              </w:rPr>
            </w:pPr>
            <w:r w:rsidRPr="4D16E69C">
              <w:rPr>
                <w:rFonts w:ascii="Arial" w:hAnsi="Arial" w:cs="Arial"/>
                <w:sz w:val="24"/>
                <w:szCs w:val="24"/>
              </w:rPr>
              <w:t>1</w:t>
            </w:r>
            <w:r w:rsidR="0849C6E8" w:rsidRPr="4D16E69C">
              <w:rPr>
                <w:rFonts w:ascii="Arial" w:hAnsi="Arial" w:cs="Arial"/>
                <w:sz w:val="24"/>
                <w:szCs w:val="24"/>
              </w:rPr>
              <w:t xml:space="preserve"> </w:t>
            </w:r>
            <w:r w:rsidRPr="4D16E69C">
              <w:rPr>
                <w:rFonts w:ascii="Arial" w:hAnsi="Arial" w:cs="Arial"/>
                <w:sz w:val="24"/>
                <w:szCs w:val="24"/>
              </w:rPr>
              <w:t>September 2025</w:t>
            </w:r>
          </w:p>
        </w:tc>
        <w:tc>
          <w:tcPr>
            <w:tcW w:w="4508" w:type="dxa"/>
          </w:tcPr>
          <w:p w14:paraId="11CC772E" w14:textId="512624C6" w:rsidR="00E1048E" w:rsidRPr="00E1048E" w:rsidRDefault="00E1048E" w:rsidP="00304887">
            <w:pPr>
              <w:jc w:val="both"/>
              <w:rPr>
                <w:rFonts w:ascii="Arial" w:hAnsi="Arial" w:cs="Arial"/>
                <w:sz w:val="24"/>
                <w:szCs w:val="24"/>
              </w:rPr>
            </w:pPr>
            <w:r w:rsidRPr="00E1048E">
              <w:rPr>
                <w:rFonts w:ascii="Arial" w:hAnsi="Arial" w:cs="Arial"/>
                <w:sz w:val="24"/>
                <w:szCs w:val="24"/>
              </w:rPr>
              <w:t>Deadline for submission of extended abstracts (compulsory for all speakers)</w:t>
            </w:r>
          </w:p>
        </w:tc>
      </w:tr>
      <w:tr w:rsidR="006E21CE" w:rsidRPr="00E1048E" w14:paraId="637D5982" w14:textId="77777777" w:rsidTr="4D16E69C">
        <w:tc>
          <w:tcPr>
            <w:tcW w:w="4508" w:type="dxa"/>
          </w:tcPr>
          <w:p w14:paraId="347CA415" w14:textId="43ABBC74" w:rsidR="006E21CE" w:rsidRPr="00E1048E" w:rsidRDefault="6C6ECB47" w:rsidP="00304887">
            <w:pPr>
              <w:jc w:val="both"/>
              <w:rPr>
                <w:rFonts w:ascii="Arial" w:hAnsi="Arial" w:cs="Arial"/>
                <w:sz w:val="24"/>
                <w:szCs w:val="24"/>
              </w:rPr>
            </w:pPr>
            <w:r w:rsidRPr="4D16E69C">
              <w:rPr>
                <w:rFonts w:ascii="Arial" w:hAnsi="Arial" w:cs="Arial"/>
                <w:sz w:val="24"/>
                <w:szCs w:val="24"/>
              </w:rPr>
              <w:t>1 September 2025</w:t>
            </w:r>
          </w:p>
        </w:tc>
        <w:tc>
          <w:tcPr>
            <w:tcW w:w="4508" w:type="dxa"/>
          </w:tcPr>
          <w:p w14:paraId="2CAF7DE4" w14:textId="59AAEBEF" w:rsidR="006E21CE" w:rsidRPr="00E1048E" w:rsidRDefault="006E21CE" w:rsidP="00304887">
            <w:pPr>
              <w:jc w:val="both"/>
              <w:rPr>
                <w:rFonts w:ascii="Arial" w:hAnsi="Arial" w:cs="Arial"/>
                <w:sz w:val="24"/>
                <w:szCs w:val="24"/>
              </w:rPr>
            </w:pPr>
            <w:r>
              <w:rPr>
                <w:rFonts w:ascii="Arial" w:hAnsi="Arial" w:cs="Arial"/>
                <w:sz w:val="24"/>
                <w:szCs w:val="24"/>
              </w:rPr>
              <w:t>Registration closes</w:t>
            </w:r>
          </w:p>
        </w:tc>
      </w:tr>
      <w:tr w:rsidR="00E1048E" w:rsidRPr="00E1048E" w14:paraId="04896B36" w14:textId="77777777" w:rsidTr="4D16E69C">
        <w:tc>
          <w:tcPr>
            <w:tcW w:w="4508" w:type="dxa"/>
          </w:tcPr>
          <w:p w14:paraId="1023CA3E" w14:textId="370A9E5D" w:rsidR="00E1048E" w:rsidRPr="00E1048E" w:rsidRDefault="00AD61FD" w:rsidP="00304887">
            <w:pPr>
              <w:jc w:val="both"/>
              <w:rPr>
                <w:rFonts w:ascii="Arial" w:hAnsi="Arial" w:cs="Arial"/>
                <w:sz w:val="24"/>
                <w:szCs w:val="24"/>
              </w:rPr>
            </w:pPr>
            <w:r w:rsidRPr="4D16E69C">
              <w:rPr>
                <w:rFonts w:ascii="Arial" w:hAnsi="Arial" w:cs="Arial"/>
                <w:sz w:val="24"/>
                <w:szCs w:val="24"/>
              </w:rPr>
              <w:t>10</w:t>
            </w:r>
            <w:r w:rsidR="4DEF6015" w:rsidRPr="4D16E69C">
              <w:rPr>
                <w:rFonts w:ascii="Arial" w:hAnsi="Arial" w:cs="Arial"/>
                <w:sz w:val="24"/>
                <w:szCs w:val="24"/>
              </w:rPr>
              <w:t xml:space="preserve"> </w:t>
            </w:r>
            <w:r w:rsidRPr="4D16E69C">
              <w:rPr>
                <w:rFonts w:ascii="Arial" w:hAnsi="Arial" w:cs="Arial"/>
                <w:sz w:val="24"/>
                <w:szCs w:val="24"/>
              </w:rPr>
              <w:t>and 11</w:t>
            </w:r>
            <w:r w:rsidR="0AFD9AA2" w:rsidRPr="4D16E69C">
              <w:rPr>
                <w:rFonts w:ascii="Arial" w:hAnsi="Arial" w:cs="Arial"/>
                <w:sz w:val="24"/>
                <w:szCs w:val="24"/>
              </w:rPr>
              <w:t xml:space="preserve"> </w:t>
            </w:r>
            <w:r w:rsidRPr="4D16E69C">
              <w:rPr>
                <w:rFonts w:ascii="Arial" w:hAnsi="Arial" w:cs="Arial"/>
                <w:sz w:val="24"/>
                <w:szCs w:val="24"/>
              </w:rPr>
              <w:t>September 2025</w:t>
            </w:r>
          </w:p>
        </w:tc>
        <w:tc>
          <w:tcPr>
            <w:tcW w:w="4508" w:type="dxa"/>
          </w:tcPr>
          <w:p w14:paraId="481263BF" w14:textId="12091C65" w:rsidR="00E1048E" w:rsidRPr="00E1048E" w:rsidRDefault="00E1048E" w:rsidP="00304887">
            <w:pPr>
              <w:jc w:val="both"/>
              <w:rPr>
                <w:rFonts w:ascii="Arial" w:hAnsi="Arial" w:cs="Arial"/>
                <w:sz w:val="24"/>
                <w:szCs w:val="24"/>
              </w:rPr>
            </w:pPr>
            <w:r w:rsidRPr="00E1048E">
              <w:rPr>
                <w:rFonts w:ascii="Arial" w:hAnsi="Arial" w:cs="Arial"/>
                <w:sz w:val="24"/>
                <w:szCs w:val="24"/>
              </w:rPr>
              <w:t>Conference takes place</w:t>
            </w:r>
          </w:p>
        </w:tc>
      </w:tr>
    </w:tbl>
    <w:p w14:paraId="0933811F" w14:textId="77777777" w:rsidR="00B64A63" w:rsidRPr="00E1048E" w:rsidRDefault="00B64A63" w:rsidP="00304887">
      <w:pPr>
        <w:jc w:val="both"/>
        <w:rPr>
          <w:rFonts w:ascii="Arial" w:hAnsi="Arial" w:cs="Arial"/>
          <w:sz w:val="24"/>
          <w:szCs w:val="24"/>
          <w:u w:val="single"/>
        </w:rPr>
      </w:pPr>
    </w:p>
    <w:p w14:paraId="4A9BF6D2" w14:textId="59D2EB0B" w:rsidR="00B64A63" w:rsidRPr="00E1048E" w:rsidRDefault="00B64A63" w:rsidP="00304887">
      <w:pPr>
        <w:jc w:val="both"/>
        <w:rPr>
          <w:rFonts w:ascii="Arial" w:hAnsi="Arial" w:cs="Arial"/>
          <w:sz w:val="24"/>
          <w:szCs w:val="24"/>
          <w:u w:val="single"/>
        </w:rPr>
      </w:pPr>
      <w:r w:rsidRPr="00E1048E">
        <w:rPr>
          <w:rFonts w:ascii="Arial" w:hAnsi="Arial" w:cs="Arial"/>
          <w:sz w:val="24"/>
          <w:szCs w:val="24"/>
          <w:u w:val="single"/>
        </w:rPr>
        <w:t>Other info</w:t>
      </w:r>
      <w:r w:rsidR="00487E75">
        <w:rPr>
          <w:rFonts w:ascii="Arial" w:hAnsi="Arial" w:cs="Arial"/>
          <w:sz w:val="24"/>
          <w:szCs w:val="24"/>
          <w:u w:val="single"/>
        </w:rPr>
        <w:t>rmation</w:t>
      </w:r>
    </w:p>
    <w:p w14:paraId="09E750F2" w14:textId="3A8F792C" w:rsidR="00B64A63" w:rsidRPr="00E1048E" w:rsidRDefault="00B64A63" w:rsidP="05179C77">
      <w:pPr>
        <w:pStyle w:val="ListParagraph"/>
        <w:numPr>
          <w:ilvl w:val="0"/>
          <w:numId w:val="2"/>
        </w:numPr>
        <w:jc w:val="both"/>
        <w:rPr>
          <w:rStyle w:val="normaltextrun"/>
          <w:rFonts w:ascii="Arial" w:eastAsia="Arial" w:hAnsi="Arial" w:cs="Arial"/>
          <w:b/>
          <w:bCs/>
          <w:sz w:val="24"/>
          <w:szCs w:val="24"/>
        </w:rPr>
      </w:pPr>
      <w:r w:rsidRPr="05179C77">
        <w:rPr>
          <w:rFonts w:ascii="Arial" w:hAnsi="Arial" w:cs="Arial"/>
          <w:sz w:val="24"/>
          <w:szCs w:val="24"/>
        </w:rPr>
        <w:t xml:space="preserve">Submission of abstracts via: </w:t>
      </w:r>
      <w:hyperlink r:id="rId12">
        <w:r w:rsidR="65808259" w:rsidRPr="05179C77">
          <w:rPr>
            <w:rStyle w:val="Hyperlink"/>
            <w:rFonts w:ascii="Arial" w:eastAsia="Arial" w:hAnsi="Arial" w:cs="Arial"/>
            <w:color w:val="467886"/>
            <w:sz w:val="24"/>
            <w:szCs w:val="24"/>
          </w:rPr>
          <w:t>VACJSConference@cardiff.ac.uk</w:t>
        </w:r>
      </w:hyperlink>
    </w:p>
    <w:p w14:paraId="5E55CECE" w14:textId="77777777" w:rsidR="00E1048E" w:rsidRPr="00E1048E" w:rsidRDefault="00B64A63" w:rsidP="00B64A63">
      <w:pPr>
        <w:pStyle w:val="ListParagraph"/>
        <w:numPr>
          <w:ilvl w:val="0"/>
          <w:numId w:val="2"/>
        </w:numPr>
        <w:jc w:val="both"/>
        <w:rPr>
          <w:rFonts w:ascii="Arial" w:hAnsi="Arial" w:cs="Arial"/>
          <w:sz w:val="24"/>
          <w:szCs w:val="24"/>
        </w:rPr>
      </w:pPr>
      <w:r w:rsidRPr="00E1048E">
        <w:rPr>
          <w:rFonts w:ascii="Arial" w:hAnsi="Arial" w:cs="Arial"/>
          <w:sz w:val="24"/>
          <w:szCs w:val="24"/>
        </w:rPr>
        <w:t xml:space="preserve">Successful applicants will be required to submit an extended abstract (1000-1500 words ahead of the conference for publication on the conference website and the Defending Vulnerability blog </w:t>
      </w:r>
      <w:r w:rsidR="00E1048E" w:rsidRPr="00E1048E">
        <w:rPr>
          <w:rFonts w:ascii="Arial" w:hAnsi="Arial" w:cs="Arial"/>
          <w:sz w:val="24"/>
          <w:szCs w:val="24"/>
        </w:rPr>
        <w:t>(</w:t>
      </w:r>
      <w:hyperlink r:id="rId13" w:history="1">
        <w:r w:rsidR="00E1048E" w:rsidRPr="00E1048E">
          <w:rPr>
            <w:rStyle w:val="Hyperlink"/>
            <w:rFonts w:ascii="Arial" w:hAnsi="Arial" w:cs="Arial"/>
            <w:sz w:val="24"/>
            <w:szCs w:val="24"/>
          </w:rPr>
          <w:t>https://defendingvulnerability.wordpress.com/</w:t>
        </w:r>
      </w:hyperlink>
      <w:r w:rsidR="00E1048E" w:rsidRPr="00E1048E">
        <w:rPr>
          <w:rFonts w:ascii="Arial" w:hAnsi="Arial" w:cs="Arial"/>
          <w:sz w:val="24"/>
          <w:szCs w:val="24"/>
        </w:rPr>
        <w:t xml:space="preserve">) </w:t>
      </w:r>
    </w:p>
    <w:p w14:paraId="503061C2" w14:textId="03601AA8" w:rsidR="00B64A63" w:rsidRPr="00E1048E" w:rsidRDefault="00B64A63" w:rsidP="00B64A63">
      <w:pPr>
        <w:pStyle w:val="ListParagraph"/>
        <w:numPr>
          <w:ilvl w:val="0"/>
          <w:numId w:val="2"/>
        </w:numPr>
        <w:jc w:val="both"/>
        <w:rPr>
          <w:rFonts w:ascii="Arial" w:hAnsi="Arial" w:cs="Arial"/>
          <w:sz w:val="24"/>
          <w:szCs w:val="24"/>
        </w:rPr>
      </w:pPr>
      <w:r w:rsidRPr="05179C77">
        <w:rPr>
          <w:rFonts w:ascii="Arial" w:hAnsi="Arial" w:cs="Arial"/>
          <w:sz w:val="24"/>
          <w:szCs w:val="24"/>
        </w:rPr>
        <w:t xml:space="preserve">Delegate fee </w:t>
      </w:r>
      <w:r w:rsidR="0041269A" w:rsidRPr="05179C77">
        <w:rPr>
          <w:rFonts w:ascii="Arial" w:hAnsi="Arial" w:cs="Arial"/>
          <w:sz w:val="24"/>
          <w:szCs w:val="24"/>
        </w:rPr>
        <w:t>–</w:t>
      </w:r>
      <w:r w:rsidRPr="05179C77">
        <w:rPr>
          <w:rFonts w:ascii="Arial" w:hAnsi="Arial" w:cs="Arial"/>
          <w:sz w:val="24"/>
          <w:szCs w:val="24"/>
        </w:rPr>
        <w:t xml:space="preserve"> </w:t>
      </w:r>
      <w:r w:rsidR="0041269A" w:rsidRPr="05179C77">
        <w:rPr>
          <w:rFonts w:ascii="Arial" w:hAnsi="Arial" w:cs="Arial"/>
          <w:sz w:val="24"/>
          <w:szCs w:val="24"/>
        </w:rPr>
        <w:t xml:space="preserve">approx. </w:t>
      </w:r>
      <w:r w:rsidRPr="05179C77">
        <w:rPr>
          <w:rFonts w:ascii="Arial" w:hAnsi="Arial" w:cs="Arial"/>
          <w:sz w:val="24"/>
          <w:szCs w:val="24"/>
        </w:rPr>
        <w:t>£</w:t>
      </w:r>
      <w:r w:rsidR="00AD61FD" w:rsidRPr="05179C77">
        <w:rPr>
          <w:rFonts w:ascii="Arial" w:hAnsi="Arial" w:cs="Arial"/>
          <w:sz w:val="24"/>
          <w:szCs w:val="24"/>
        </w:rPr>
        <w:t>1</w:t>
      </w:r>
      <w:r w:rsidR="36259120" w:rsidRPr="05179C77">
        <w:rPr>
          <w:rFonts w:ascii="Arial" w:hAnsi="Arial" w:cs="Arial"/>
          <w:sz w:val="24"/>
          <w:szCs w:val="24"/>
        </w:rPr>
        <w:t>20-13</w:t>
      </w:r>
      <w:r w:rsidRPr="05179C77">
        <w:rPr>
          <w:rFonts w:ascii="Arial" w:hAnsi="Arial" w:cs="Arial"/>
          <w:sz w:val="24"/>
          <w:szCs w:val="24"/>
        </w:rPr>
        <w:t>0 for two</w:t>
      </w:r>
      <w:r w:rsidR="00E1048E" w:rsidRPr="05179C77">
        <w:rPr>
          <w:rFonts w:ascii="Arial" w:hAnsi="Arial" w:cs="Arial"/>
          <w:sz w:val="24"/>
          <w:szCs w:val="24"/>
        </w:rPr>
        <w:t>-</w:t>
      </w:r>
      <w:r w:rsidRPr="05179C77">
        <w:rPr>
          <w:rFonts w:ascii="Arial" w:hAnsi="Arial" w:cs="Arial"/>
          <w:sz w:val="24"/>
          <w:szCs w:val="24"/>
        </w:rPr>
        <w:t xml:space="preserve">day conference, including lunch, refreshments </w:t>
      </w:r>
      <w:r w:rsidR="0041269A" w:rsidRPr="05179C77">
        <w:rPr>
          <w:rFonts w:ascii="Arial" w:hAnsi="Arial" w:cs="Arial"/>
          <w:sz w:val="24"/>
          <w:szCs w:val="24"/>
        </w:rPr>
        <w:t>(exact cost tbc).</w:t>
      </w:r>
    </w:p>
    <w:p w14:paraId="3DB2EF80" w14:textId="6E07794C" w:rsidR="00B64A63" w:rsidRPr="00E1048E" w:rsidRDefault="00CD0FC3" w:rsidP="1F9DCBEB">
      <w:pPr>
        <w:jc w:val="both"/>
        <w:rPr>
          <w:rFonts w:ascii="Arial" w:hAnsi="Arial" w:cs="Arial"/>
          <w:i/>
          <w:iCs/>
          <w:sz w:val="24"/>
          <w:szCs w:val="24"/>
        </w:rPr>
      </w:pPr>
      <w:r w:rsidRPr="1F9DCBEB">
        <w:rPr>
          <w:rFonts w:ascii="Arial" w:hAnsi="Arial" w:cs="Arial"/>
          <w:i/>
          <w:iCs/>
          <w:sz w:val="24"/>
          <w:szCs w:val="24"/>
        </w:rPr>
        <w:t xml:space="preserve">We </w:t>
      </w:r>
      <w:r w:rsidR="003A7C5A" w:rsidRPr="1F9DCBEB">
        <w:rPr>
          <w:rFonts w:ascii="Arial" w:hAnsi="Arial" w:cs="Arial"/>
          <w:i/>
          <w:iCs/>
          <w:sz w:val="24"/>
          <w:szCs w:val="24"/>
        </w:rPr>
        <w:t>are offering</w:t>
      </w:r>
      <w:r w:rsidR="00AD61FD" w:rsidRPr="1F9DCBEB">
        <w:rPr>
          <w:rFonts w:ascii="Arial" w:hAnsi="Arial" w:cs="Arial"/>
          <w:i/>
          <w:iCs/>
          <w:sz w:val="24"/>
          <w:szCs w:val="24"/>
        </w:rPr>
        <w:t xml:space="preserve"> a small number of</w:t>
      </w:r>
      <w:r w:rsidRPr="1F9DCBEB">
        <w:rPr>
          <w:rFonts w:ascii="Arial" w:hAnsi="Arial" w:cs="Arial"/>
          <w:i/>
          <w:iCs/>
          <w:sz w:val="24"/>
          <w:szCs w:val="24"/>
        </w:rPr>
        <w:t xml:space="preserve"> PGR/ECR bursaries, worth £200</w:t>
      </w:r>
      <w:r w:rsidR="00AD61FD" w:rsidRPr="1F9DCBEB">
        <w:rPr>
          <w:rFonts w:ascii="Arial" w:hAnsi="Arial" w:cs="Arial"/>
          <w:i/>
          <w:iCs/>
          <w:sz w:val="24"/>
          <w:szCs w:val="24"/>
        </w:rPr>
        <w:t>,</w:t>
      </w:r>
      <w:r w:rsidRPr="1F9DCBEB">
        <w:rPr>
          <w:rFonts w:ascii="Arial" w:hAnsi="Arial" w:cs="Arial"/>
          <w:i/>
          <w:iCs/>
          <w:sz w:val="24"/>
          <w:szCs w:val="24"/>
        </w:rPr>
        <w:t xml:space="preserve"> towards travel and overnight accommodation. </w:t>
      </w:r>
      <w:r w:rsidR="424EF1B1" w:rsidRPr="1F9DCBEB">
        <w:rPr>
          <w:rFonts w:ascii="Arial" w:hAnsi="Arial" w:cs="Arial"/>
          <w:i/>
          <w:iCs/>
          <w:sz w:val="24"/>
          <w:szCs w:val="24"/>
        </w:rPr>
        <w:t>If you wish to apply, please indicate your interest, your year of study (PhD)</w:t>
      </w:r>
      <w:r w:rsidR="33A1EDC1" w:rsidRPr="1F9DCBEB">
        <w:rPr>
          <w:rFonts w:ascii="Arial" w:hAnsi="Arial" w:cs="Arial"/>
          <w:i/>
          <w:iCs/>
          <w:sz w:val="24"/>
          <w:szCs w:val="24"/>
        </w:rPr>
        <w:t>/</w:t>
      </w:r>
      <w:r w:rsidR="424EF1B1" w:rsidRPr="1F9DCBEB">
        <w:rPr>
          <w:rFonts w:ascii="Arial" w:hAnsi="Arial" w:cs="Arial"/>
          <w:i/>
          <w:iCs/>
          <w:sz w:val="24"/>
          <w:szCs w:val="24"/>
        </w:rPr>
        <w:t xml:space="preserve">your length of time in post (ECR), and your dissemination plans for the conference paper. </w:t>
      </w:r>
    </w:p>
    <w:p w14:paraId="26B9FAC3" w14:textId="7214384C" w:rsidR="00B64A63" w:rsidRPr="00E1048E" w:rsidRDefault="00B64A63" w:rsidP="1F9DCBEB">
      <w:pPr>
        <w:pStyle w:val="ListParagraph"/>
        <w:numPr>
          <w:ilvl w:val="0"/>
          <w:numId w:val="3"/>
        </w:numPr>
        <w:jc w:val="both"/>
        <w:rPr>
          <w:rFonts w:ascii="Arial" w:hAnsi="Arial" w:cs="Arial"/>
        </w:rPr>
      </w:pPr>
      <w:r w:rsidRPr="1F9DCBEB">
        <w:rPr>
          <w:rFonts w:ascii="Arial" w:hAnsi="Arial" w:cs="Arial"/>
          <w:sz w:val="24"/>
          <w:szCs w:val="24"/>
        </w:rPr>
        <w:t xml:space="preserve">There will be a Conference Dinner for the evening of </w:t>
      </w:r>
      <w:r w:rsidR="00AD61FD" w:rsidRPr="1F9DCBEB">
        <w:rPr>
          <w:rFonts w:ascii="Arial" w:hAnsi="Arial" w:cs="Arial"/>
          <w:sz w:val="24"/>
          <w:szCs w:val="24"/>
        </w:rPr>
        <w:t>10</w:t>
      </w:r>
      <w:r w:rsidR="00AD61FD" w:rsidRPr="1F9DCBEB">
        <w:rPr>
          <w:rFonts w:ascii="Arial" w:hAnsi="Arial" w:cs="Arial"/>
          <w:sz w:val="24"/>
          <w:szCs w:val="24"/>
          <w:vertAlign w:val="superscript"/>
        </w:rPr>
        <w:t>th</w:t>
      </w:r>
      <w:r w:rsidRPr="1F9DCBEB">
        <w:rPr>
          <w:rFonts w:ascii="Arial" w:hAnsi="Arial" w:cs="Arial"/>
          <w:sz w:val="24"/>
          <w:szCs w:val="24"/>
        </w:rPr>
        <w:t xml:space="preserve"> September</w:t>
      </w:r>
      <w:r w:rsidR="54699527" w:rsidRPr="1F9DCBEB">
        <w:rPr>
          <w:rFonts w:ascii="Arial" w:hAnsi="Arial" w:cs="Arial"/>
          <w:sz w:val="24"/>
          <w:szCs w:val="24"/>
        </w:rPr>
        <w:t>.</w:t>
      </w:r>
      <w:r w:rsidR="4B70A1A6" w:rsidRPr="1F9DCBEB">
        <w:rPr>
          <w:rFonts w:ascii="Arial" w:hAnsi="Arial" w:cs="Arial"/>
          <w:sz w:val="24"/>
          <w:szCs w:val="24"/>
        </w:rPr>
        <w:t xml:space="preserve"> There is an additional fee payable for the conference dinner.</w:t>
      </w:r>
    </w:p>
    <w:p w14:paraId="50A0B737" w14:textId="684FC0AF" w:rsidR="00E1048E" w:rsidRDefault="00E1048E" w:rsidP="00E1048E">
      <w:pPr>
        <w:pStyle w:val="ListParagraph"/>
        <w:numPr>
          <w:ilvl w:val="0"/>
          <w:numId w:val="3"/>
        </w:numPr>
        <w:jc w:val="both"/>
        <w:rPr>
          <w:rFonts w:ascii="Arial" w:hAnsi="Arial" w:cs="Arial"/>
          <w:sz w:val="24"/>
          <w:szCs w:val="24"/>
        </w:rPr>
      </w:pPr>
      <w:r w:rsidRPr="1F9DCBEB">
        <w:rPr>
          <w:rFonts w:ascii="Arial" w:hAnsi="Arial" w:cs="Arial"/>
          <w:sz w:val="24"/>
          <w:szCs w:val="24"/>
        </w:rPr>
        <w:t xml:space="preserve">If there is sufficient interest, we plan to publish a Special Issue following the conference. Please register your interest when submitting your abstract. Full written papers will need to be submitted by </w:t>
      </w:r>
      <w:r w:rsidR="3AEE0D31" w:rsidRPr="1F9DCBEB">
        <w:rPr>
          <w:rFonts w:ascii="Arial" w:hAnsi="Arial" w:cs="Arial"/>
          <w:sz w:val="24"/>
          <w:szCs w:val="24"/>
        </w:rPr>
        <w:t>April</w:t>
      </w:r>
      <w:r w:rsidRPr="1F9DCBEB">
        <w:rPr>
          <w:rFonts w:ascii="Arial" w:hAnsi="Arial" w:cs="Arial"/>
          <w:sz w:val="24"/>
          <w:szCs w:val="24"/>
        </w:rPr>
        <w:t xml:space="preserve"> 202</w:t>
      </w:r>
      <w:r w:rsidR="00AD61FD" w:rsidRPr="1F9DCBEB">
        <w:rPr>
          <w:rFonts w:ascii="Arial" w:hAnsi="Arial" w:cs="Arial"/>
          <w:sz w:val="24"/>
          <w:szCs w:val="24"/>
        </w:rPr>
        <w:t>6</w:t>
      </w:r>
      <w:r w:rsidRPr="1F9DCBEB">
        <w:rPr>
          <w:rFonts w:ascii="Arial" w:hAnsi="Arial" w:cs="Arial"/>
          <w:sz w:val="24"/>
          <w:szCs w:val="24"/>
        </w:rPr>
        <w:t>.</w:t>
      </w:r>
    </w:p>
    <w:p w14:paraId="6764A02F" w14:textId="7014C2CA" w:rsidR="00A53BEC" w:rsidRDefault="00A53BEC" w:rsidP="00E1048E">
      <w:pPr>
        <w:pStyle w:val="ListParagraph"/>
        <w:numPr>
          <w:ilvl w:val="0"/>
          <w:numId w:val="3"/>
        </w:numPr>
        <w:jc w:val="both"/>
        <w:rPr>
          <w:rFonts w:ascii="Arial" w:hAnsi="Arial" w:cs="Arial"/>
          <w:sz w:val="24"/>
          <w:szCs w:val="24"/>
        </w:rPr>
      </w:pPr>
      <w:r w:rsidRPr="05179C77">
        <w:rPr>
          <w:rFonts w:ascii="Arial" w:hAnsi="Arial" w:cs="Arial"/>
          <w:sz w:val="24"/>
          <w:szCs w:val="24"/>
        </w:rPr>
        <w:t xml:space="preserve">Further detail for </w:t>
      </w:r>
      <w:proofErr w:type="spellStart"/>
      <w:r w:rsidRPr="05179C77">
        <w:rPr>
          <w:rFonts w:ascii="Arial" w:hAnsi="Arial" w:cs="Arial"/>
          <w:sz w:val="24"/>
          <w:szCs w:val="24"/>
        </w:rPr>
        <w:t>ImpleMendez</w:t>
      </w:r>
      <w:proofErr w:type="spellEnd"/>
      <w:r w:rsidRPr="05179C77">
        <w:rPr>
          <w:rFonts w:ascii="Arial" w:hAnsi="Arial" w:cs="Arial"/>
          <w:sz w:val="24"/>
          <w:szCs w:val="24"/>
        </w:rPr>
        <w:t xml:space="preserve"> COST Members will be made available on the </w:t>
      </w:r>
      <w:proofErr w:type="spellStart"/>
      <w:r w:rsidRPr="05179C77">
        <w:rPr>
          <w:rFonts w:ascii="Arial" w:hAnsi="Arial" w:cs="Arial"/>
          <w:sz w:val="24"/>
          <w:szCs w:val="24"/>
        </w:rPr>
        <w:t>ImpleMendez</w:t>
      </w:r>
      <w:proofErr w:type="spellEnd"/>
      <w:r w:rsidRPr="05179C77">
        <w:rPr>
          <w:rFonts w:ascii="Arial" w:hAnsi="Arial" w:cs="Arial"/>
          <w:sz w:val="24"/>
          <w:szCs w:val="24"/>
        </w:rPr>
        <w:t xml:space="preserve"> webpage. </w:t>
      </w:r>
    </w:p>
    <w:p w14:paraId="0B6B933C" w14:textId="433B4008" w:rsidR="00567988" w:rsidRDefault="000B6717" w:rsidP="1F9DCBEB">
      <w:pPr>
        <w:pStyle w:val="ListParagraph"/>
        <w:numPr>
          <w:ilvl w:val="0"/>
          <w:numId w:val="3"/>
        </w:numPr>
        <w:jc w:val="both"/>
        <w:rPr>
          <w:rFonts w:ascii="Arial" w:hAnsi="Arial" w:cs="Arial"/>
        </w:rPr>
      </w:pPr>
      <w:r w:rsidRPr="1F9DCBEB">
        <w:rPr>
          <w:rFonts w:ascii="Arial" w:hAnsi="Arial" w:cs="Arial"/>
          <w:sz w:val="24"/>
          <w:szCs w:val="24"/>
        </w:rPr>
        <w:t>Please see</w:t>
      </w:r>
      <w:r w:rsidR="34D15360" w:rsidRPr="1F9DCBEB">
        <w:rPr>
          <w:rFonts w:ascii="Arial" w:hAnsi="Arial" w:cs="Arial"/>
          <w:sz w:val="24"/>
          <w:szCs w:val="24"/>
        </w:rPr>
        <w:t xml:space="preserve"> joining details for SLS:</w:t>
      </w:r>
      <w:r w:rsidR="15DB995F" w:rsidRPr="1F9DCBEB">
        <w:rPr>
          <w:rFonts w:ascii="Arial" w:hAnsi="Arial" w:cs="Arial"/>
          <w:sz w:val="24"/>
          <w:szCs w:val="24"/>
        </w:rPr>
        <w:t xml:space="preserve"> </w:t>
      </w:r>
      <w:hyperlink r:id="rId14">
        <w:r w:rsidR="15DB995F" w:rsidRPr="1F9DCBEB">
          <w:rPr>
            <w:rStyle w:val="Hyperlink"/>
            <w:rFonts w:ascii="Arial" w:hAnsi="Arial" w:cs="Arial"/>
            <w:sz w:val="24"/>
            <w:szCs w:val="24"/>
          </w:rPr>
          <w:t>https://www.legalscholars.ac.uk/</w:t>
        </w:r>
      </w:hyperlink>
      <w:r w:rsidR="15DB995F" w:rsidRPr="1F9DCBEB">
        <w:rPr>
          <w:rFonts w:ascii="Arial" w:hAnsi="Arial" w:cs="Arial"/>
          <w:sz w:val="24"/>
          <w:szCs w:val="24"/>
        </w:rPr>
        <w:t xml:space="preserve"> </w:t>
      </w:r>
    </w:p>
    <w:p w14:paraId="2B09D066" w14:textId="3FDDF70A" w:rsidR="00567988" w:rsidRDefault="00567988" w:rsidP="1F9DCBEB">
      <w:pPr>
        <w:pStyle w:val="ListParagraph"/>
        <w:numPr>
          <w:ilvl w:val="0"/>
          <w:numId w:val="3"/>
        </w:numPr>
        <w:jc w:val="both"/>
        <w:rPr>
          <w:rFonts w:ascii="Arial" w:hAnsi="Arial" w:cs="Arial"/>
        </w:rPr>
      </w:pPr>
      <w:r w:rsidRPr="1F9DCBEB">
        <w:rPr>
          <w:rFonts w:ascii="Arial" w:hAnsi="Arial" w:cs="Arial"/>
          <w:sz w:val="24"/>
          <w:szCs w:val="24"/>
        </w:rPr>
        <w:t xml:space="preserve">Please see </w:t>
      </w:r>
      <w:hyperlink r:id="rId15">
        <w:r w:rsidRPr="1F9DCBEB">
          <w:rPr>
            <w:rStyle w:val="Hyperlink"/>
            <w:rFonts w:ascii="Arial" w:hAnsi="Arial" w:cs="Arial"/>
            <w:sz w:val="24"/>
            <w:szCs w:val="24"/>
          </w:rPr>
          <w:t>https://implemendez.eu/</w:t>
        </w:r>
      </w:hyperlink>
      <w:r w:rsidRPr="1F9DCBEB">
        <w:rPr>
          <w:rFonts w:ascii="Arial" w:hAnsi="Arial" w:cs="Arial"/>
          <w:sz w:val="24"/>
          <w:szCs w:val="24"/>
        </w:rPr>
        <w:t xml:space="preserve"> for details about the work of the </w:t>
      </w:r>
      <w:proofErr w:type="spellStart"/>
      <w:r w:rsidRPr="1F9DCBEB">
        <w:rPr>
          <w:rFonts w:ascii="Arial" w:hAnsi="Arial" w:cs="Arial"/>
          <w:sz w:val="24"/>
          <w:szCs w:val="24"/>
        </w:rPr>
        <w:t>ImpleMendez</w:t>
      </w:r>
      <w:proofErr w:type="spellEnd"/>
      <w:r w:rsidRPr="1F9DCBEB">
        <w:rPr>
          <w:rFonts w:ascii="Arial" w:hAnsi="Arial" w:cs="Arial"/>
          <w:sz w:val="24"/>
          <w:szCs w:val="24"/>
        </w:rPr>
        <w:t xml:space="preserve"> COST Action and details o</w:t>
      </w:r>
      <w:r w:rsidR="3074C6EB" w:rsidRPr="1F9DCBEB">
        <w:rPr>
          <w:rFonts w:ascii="Arial" w:hAnsi="Arial" w:cs="Arial"/>
          <w:sz w:val="24"/>
          <w:szCs w:val="24"/>
        </w:rPr>
        <w:t>n</w:t>
      </w:r>
      <w:r w:rsidRPr="1F9DCBEB">
        <w:rPr>
          <w:rFonts w:ascii="Arial" w:hAnsi="Arial" w:cs="Arial"/>
          <w:sz w:val="24"/>
          <w:szCs w:val="24"/>
        </w:rPr>
        <w:t xml:space="preserve"> how to join.</w:t>
      </w:r>
    </w:p>
    <w:p w14:paraId="3E85EBFF" w14:textId="12FA41A7" w:rsidR="0041269A" w:rsidRDefault="0943E5DC" w:rsidP="00E1048E">
      <w:pPr>
        <w:pStyle w:val="ListParagraph"/>
        <w:numPr>
          <w:ilvl w:val="0"/>
          <w:numId w:val="3"/>
        </w:numPr>
        <w:jc w:val="both"/>
        <w:rPr>
          <w:rFonts w:ascii="Arial" w:hAnsi="Arial" w:cs="Arial"/>
          <w:sz w:val="24"/>
          <w:szCs w:val="24"/>
        </w:rPr>
      </w:pPr>
      <w:r w:rsidRPr="1F9DCBEB">
        <w:rPr>
          <w:rFonts w:ascii="Arial" w:hAnsi="Arial" w:cs="Arial"/>
          <w:sz w:val="24"/>
          <w:szCs w:val="24"/>
        </w:rPr>
        <w:t>Further information on travel and accommodation will be provided in due course.</w:t>
      </w:r>
    </w:p>
    <w:p w14:paraId="0A669818" w14:textId="527C051E" w:rsidR="7FFDD87C" w:rsidRDefault="7FFDD87C" w:rsidP="05179C77">
      <w:pPr>
        <w:jc w:val="both"/>
        <w:rPr>
          <w:rFonts w:ascii="Arial" w:hAnsi="Arial" w:cs="Arial"/>
          <w:sz w:val="24"/>
          <w:szCs w:val="24"/>
        </w:rPr>
      </w:pPr>
      <w:r w:rsidRPr="05179C77">
        <w:rPr>
          <w:rFonts w:ascii="Arial" w:hAnsi="Arial" w:cs="Arial"/>
          <w:sz w:val="24"/>
          <w:szCs w:val="24"/>
        </w:rPr>
        <w:t xml:space="preserve">We are grateful to our funders for making this conference possible and for subsidising several essential expenses. </w:t>
      </w:r>
    </w:p>
    <w:p w14:paraId="4431C678" w14:textId="77777777" w:rsidR="00A53BEC" w:rsidRPr="00A53BEC" w:rsidRDefault="00A53BEC" w:rsidP="00A53BEC">
      <w:pPr>
        <w:ind w:left="360"/>
        <w:jc w:val="both"/>
        <w:rPr>
          <w:rFonts w:ascii="Arial" w:hAnsi="Arial" w:cs="Arial"/>
          <w:sz w:val="24"/>
          <w:szCs w:val="24"/>
        </w:rPr>
      </w:pPr>
    </w:p>
    <w:sectPr w:rsidR="00A53BEC" w:rsidRPr="00A53BEC" w:rsidSect="00591AD1">
      <w:headerReference w:type="default" r:id="rId16"/>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594FE" w14:textId="77777777" w:rsidR="00C638D1" w:rsidRDefault="00C638D1" w:rsidP="00496777">
      <w:pPr>
        <w:spacing w:after="0" w:line="240" w:lineRule="auto"/>
      </w:pPr>
      <w:r>
        <w:separator/>
      </w:r>
    </w:p>
  </w:endnote>
  <w:endnote w:type="continuationSeparator" w:id="0">
    <w:p w14:paraId="11868277" w14:textId="77777777" w:rsidR="00C638D1" w:rsidRDefault="00C638D1" w:rsidP="00496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1E144" w14:textId="77777777" w:rsidR="00C638D1" w:rsidRDefault="00C638D1" w:rsidP="00496777">
      <w:pPr>
        <w:spacing w:after="0" w:line="240" w:lineRule="auto"/>
      </w:pPr>
      <w:r>
        <w:separator/>
      </w:r>
    </w:p>
  </w:footnote>
  <w:footnote w:type="continuationSeparator" w:id="0">
    <w:p w14:paraId="5C6C3CFE" w14:textId="77777777" w:rsidR="00C638D1" w:rsidRDefault="00C638D1" w:rsidP="00496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97940" w14:textId="32797485" w:rsidR="00496777" w:rsidRDefault="00591AD1">
    <w:pPr>
      <w:pStyle w:val="Header"/>
    </w:pPr>
    <w:r>
      <w:rPr>
        <w:noProof/>
      </w:rPr>
      <w:drawing>
        <wp:anchor distT="0" distB="0" distL="114300" distR="114300" simplePos="0" relativeHeight="251663360" behindDoc="0" locked="0" layoutInCell="1" allowOverlap="1" wp14:anchorId="3F2F6F15" wp14:editId="4328D081">
          <wp:simplePos x="0" y="0"/>
          <wp:positionH relativeFrom="column">
            <wp:posOffset>-481965</wp:posOffset>
          </wp:positionH>
          <wp:positionV relativeFrom="paragraph">
            <wp:posOffset>-170180</wp:posOffset>
          </wp:positionV>
          <wp:extent cx="1058545" cy="1016000"/>
          <wp:effectExtent l="0" t="0" r="8255" b="0"/>
          <wp:wrapThrough wrapText="bothSides">
            <wp:wrapPolygon edited="0">
              <wp:start x="0" y="0"/>
              <wp:lineTo x="0" y="21060"/>
              <wp:lineTo x="21380" y="21060"/>
              <wp:lineTo x="21380" y="0"/>
              <wp:lineTo x="0" y="0"/>
            </wp:wrapPolygon>
          </wp:wrapThrough>
          <wp:docPr id="1632430796" name="Picture 3" descr="Cardiff University | Centr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rdiff University | Central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545" cy="101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0853">
      <w:rPr>
        <w:noProof/>
      </w:rPr>
      <w:drawing>
        <wp:anchor distT="0" distB="0" distL="114300" distR="114300" simplePos="0" relativeHeight="251661312" behindDoc="0" locked="0" layoutInCell="1" allowOverlap="1" wp14:anchorId="7EA32B80" wp14:editId="30E76450">
          <wp:simplePos x="0" y="0"/>
          <wp:positionH relativeFrom="margin">
            <wp:posOffset>2235200</wp:posOffset>
          </wp:positionH>
          <wp:positionV relativeFrom="margin">
            <wp:posOffset>-948055</wp:posOffset>
          </wp:positionV>
          <wp:extent cx="1181100" cy="647700"/>
          <wp:effectExtent l="0" t="0" r="0" b="0"/>
          <wp:wrapSquare wrapText="bothSides"/>
          <wp:docPr id="1749227532" name="Picture 1749227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1100" cy="6477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164BA61A" wp14:editId="60E8EF8A">
          <wp:simplePos x="0" y="0"/>
          <wp:positionH relativeFrom="column">
            <wp:posOffset>5010150</wp:posOffset>
          </wp:positionH>
          <wp:positionV relativeFrom="paragraph">
            <wp:posOffset>-309880</wp:posOffset>
          </wp:positionV>
          <wp:extent cx="1343025" cy="1310640"/>
          <wp:effectExtent l="0" t="0" r="9525" b="3810"/>
          <wp:wrapTight wrapText="bothSides">
            <wp:wrapPolygon edited="0">
              <wp:start x="0" y="0"/>
              <wp:lineTo x="0" y="21349"/>
              <wp:lineTo x="21447" y="21349"/>
              <wp:lineTo x="21447" y="0"/>
              <wp:lineTo x="0" y="0"/>
            </wp:wrapPolygon>
          </wp:wrapTight>
          <wp:docPr id="1596122064" name="Picture 1" descr="ImpleMendez – COST Action CA22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leMendez – COST Action CA2212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43025" cy="1310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6777" w:rsidRPr="0049677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C594C"/>
    <w:multiLevelType w:val="hybridMultilevel"/>
    <w:tmpl w:val="F8C2B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DB39CF"/>
    <w:multiLevelType w:val="hybridMultilevel"/>
    <w:tmpl w:val="0B029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450D6C"/>
    <w:multiLevelType w:val="hybridMultilevel"/>
    <w:tmpl w:val="18BEA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8129907">
    <w:abstractNumId w:val="1"/>
  </w:num>
  <w:num w:numId="2" w16cid:durableId="354620302">
    <w:abstractNumId w:val="2"/>
  </w:num>
  <w:num w:numId="3" w16cid:durableId="1001814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887"/>
    <w:rsid w:val="000700FC"/>
    <w:rsid w:val="000A6E7F"/>
    <w:rsid w:val="000B19B3"/>
    <w:rsid w:val="000B6717"/>
    <w:rsid w:val="00136CA7"/>
    <w:rsid w:val="001D5DFB"/>
    <w:rsid w:val="00304887"/>
    <w:rsid w:val="003A3768"/>
    <w:rsid w:val="003A7C5A"/>
    <w:rsid w:val="0041269A"/>
    <w:rsid w:val="004137AF"/>
    <w:rsid w:val="00416067"/>
    <w:rsid w:val="00487E75"/>
    <w:rsid w:val="00496777"/>
    <w:rsid w:val="00567988"/>
    <w:rsid w:val="00570853"/>
    <w:rsid w:val="00591AD1"/>
    <w:rsid w:val="005A42A0"/>
    <w:rsid w:val="00645CEA"/>
    <w:rsid w:val="006A4A03"/>
    <w:rsid w:val="006E21CE"/>
    <w:rsid w:val="009717C9"/>
    <w:rsid w:val="009D3FC9"/>
    <w:rsid w:val="00A53BEC"/>
    <w:rsid w:val="00AC206C"/>
    <w:rsid w:val="00AD61FD"/>
    <w:rsid w:val="00B64A63"/>
    <w:rsid w:val="00C634B5"/>
    <w:rsid w:val="00C638D1"/>
    <w:rsid w:val="00C90FF4"/>
    <w:rsid w:val="00CC209E"/>
    <w:rsid w:val="00CD0FC3"/>
    <w:rsid w:val="00D46CCB"/>
    <w:rsid w:val="00E1048E"/>
    <w:rsid w:val="00E84154"/>
    <w:rsid w:val="00FE7C35"/>
    <w:rsid w:val="00FF5920"/>
    <w:rsid w:val="05179C77"/>
    <w:rsid w:val="068D7E7A"/>
    <w:rsid w:val="06CDD308"/>
    <w:rsid w:val="0849C6E8"/>
    <w:rsid w:val="0943E5DC"/>
    <w:rsid w:val="0AFD9AA2"/>
    <w:rsid w:val="0EB49FB8"/>
    <w:rsid w:val="13CC3D5E"/>
    <w:rsid w:val="15DB995F"/>
    <w:rsid w:val="1CC05878"/>
    <w:rsid w:val="1E060447"/>
    <w:rsid w:val="1F9DCBEB"/>
    <w:rsid w:val="3074C6EB"/>
    <w:rsid w:val="33A1EDC1"/>
    <w:rsid w:val="340B0794"/>
    <w:rsid w:val="343A7E38"/>
    <w:rsid w:val="34D15360"/>
    <w:rsid w:val="36259120"/>
    <w:rsid w:val="3783CA16"/>
    <w:rsid w:val="3A0D15DC"/>
    <w:rsid w:val="3AEE0D31"/>
    <w:rsid w:val="3D2C1AA1"/>
    <w:rsid w:val="3FF5066F"/>
    <w:rsid w:val="424327F6"/>
    <w:rsid w:val="424EF1B1"/>
    <w:rsid w:val="4B70A1A6"/>
    <w:rsid w:val="4B9B9FC0"/>
    <w:rsid w:val="4D16E69C"/>
    <w:rsid w:val="4DEF6015"/>
    <w:rsid w:val="4E08CEA5"/>
    <w:rsid w:val="4F9D9DFC"/>
    <w:rsid w:val="5381F493"/>
    <w:rsid w:val="53855A8E"/>
    <w:rsid w:val="54699527"/>
    <w:rsid w:val="58D68F2D"/>
    <w:rsid w:val="65808259"/>
    <w:rsid w:val="69F1CCE5"/>
    <w:rsid w:val="6AA2F7D5"/>
    <w:rsid w:val="6C6ECB47"/>
    <w:rsid w:val="70056D75"/>
    <w:rsid w:val="708114AA"/>
    <w:rsid w:val="72933E6C"/>
    <w:rsid w:val="731B42DC"/>
    <w:rsid w:val="731EFBB2"/>
    <w:rsid w:val="73B49F8E"/>
    <w:rsid w:val="74E9F154"/>
    <w:rsid w:val="7FFDD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30486"/>
  <w15:chartTrackingRefBased/>
  <w15:docId w15:val="{F3276D7A-EBB8-4CBC-AD15-5281ACB8D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304887"/>
  </w:style>
  <w:style w:type="paragraph" w:styleId="ListParagraph">
    <w:name w:val="List Paragraph"/>
    <w:basedOn w:val="Normal"/>
    <w:uiPriority w:val="34"/>
    <w:qFormat/>
    <w:rsid w:val="00304887"/>
    <w:pPr>
      <w:ind w:left="720"/>
      <w:contextualSpacing/>
    </w:pPr>
  </w:style>
  <w:style w:type="character" w:customStyle="1" w:styleId="eop">
    <w:name w:val="eop"/>
    <w:basedOn w:val="DefaultParagraphFont"/>
    <w:rsid w:val="00CD0FC3"/>
  </w:style>
  <w:style w:type="character" w:styleId="Hyperlink">
    <w:name w:val="Hyperlink"/>
    <w:basedOn w:val="DefaultParagraphFont"/>
    <w:uiPriority w:val="99"/>
    <w:unhideWhenUsed/>
    <w:rsid w:val="00E1048E"/>
    <w:rPr>
      <w:color w:val="0000FF"/>
      <w:u w:val="single"/>
    </w:rPr>
  </w:style>
  <w:style w:type="table" w:styleId="TableGrid">
    <w:name w:val="Table Grid"/>
    <w:basedOn w:val="TableNormal"/>
    <w:uiPriority w:val="39"/>
    <w:rsid w:val="00E10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6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6777"/>
  </w:style>
  <w:style w:type="paragraph" w:styleId="Footer">
    <w:name w:val="footer"/>
    <w:basedOn w:val="Normal"/>
    <w:link w:val="FooterChar"/>
    <w:uiPriority w:val="99"/>
    <w:unhideWhenUsed/>
    <w:rsid w:val="00496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777"/>
  </w:style>
  <w:style w:type="character" w:styleId="UnresolvedMention">
    <w:name w:val="Unresolved Mention"/>
    <w:basedOn w:val="DefaultParagraphFont"/>
    <w:uiPriority w:val="99"/>
    <w:semiHidden/>
    <w:unhideWhenUsed/>
    <w:rsid w:val="00567988"/>
    <w:rPr>
      <w:color w:val="605E5C"/>
      <w:shd w:val="clear" w:color="auto" w:fill="E1DFDD"/>
    </w:rPr>
  </w:style>
  <w:style w:type="character" w:styleId="CommentReference">
    <w:name w:val="annotation reference"/>
    <w:basedOn w:val="DefaultParagraphFont"/>
    <w:uiPriority w:val="99"/>
    <w:semiHidden/>
    <w:unhideWhenUsed/>
    <w:rsid w:val="00A53BEC"/>
    <w:rPr>
      <w:sz w:val="16"/>
      <w:szCs w:val="16"/>
    </w:rPr>
  </w:style>
  <w:style w:type="paragraph" w:styleId="CommentText">
    <w:name w:val="annotation text"/>
    <w:basedOn w:val="Normal"/>
    <w:link w:val="CommentTextChar"/>
    <w:uiPriority w:val="99"/>
    <w:semiHidden/>
    <w:unhideWhenUsed/>
    <w:rsid w:val="00A53BEC"/>
    <w:pPr>
      <w:spacing w:line="240" w:lineRule="auto"/>
    </w:pPr>
    <w:rPr>
      <w:sz w:val="20"/>
      <w:szCs w:val="20"/>
    </w:rPr>
  </w:style>
  <w:style w:type="character" w:customStyle="1" w:styleId="CommentTextChar">
    <w:name w:val="Comment Text Char"/>
    <w:basedOn w:val="DefaultParagraphFont"/>
    <w:link w:val="CommentText"/>
    <w:uiPriority w:val="99"/>
    <w:semiHidden/>
    <w:rsid w:val="00A53BEC"/>
    <w:rPr>
      <w:sz w:val="20"/>
      <w:szCs w:val="20"/>
    </w:rPr>
  </w:style>
  <w:style w:type="paragraph" w:styleId="CommentSubject">
    <w:name w:val="annotation subject"/>
    <w:basedOn w:val="CommentText"/>
    <w:next w:val="CommentText"/>
    <w:link w:val="CommentSubjectChar"/>
    <w:uiPriority w:val="99"/>
    <w:semiHidden/>
    <w:unhideWhenUsed/>
    <w:rsid w:val="00A53BEC"/>
    <w:rPr>
      <w:b/>
      <w:bCs/>
    </w:rPr>
  </w:style>
  <w:style w:type="character" w:customStyle="1" w:styleId="CommentSubjectChar">
    <w:name w:val="Comment Subject Char"/>
    <w:basedOn w:val="CommentTextChar"/>
    <w:link w:val="CommentSubject"/>
    <w:uiPriority w:val="99"/>
    <w:semiHidden/>
    <w:rsid w:val="00A53B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fendingvulnerability.wordpres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ACJSConference@cardiff.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CJSConference@cardiff.ac.uk" TargetMode="External"/><Relationship Id="rId5" Type="http://schemas.openxmlformats.org/officeDocument/2006/relationships/numbering" Target="numbering.xml"/><Relationship Id="rId15" Type="http://schemas.openxmlformats.org/officeDocument/2006/relationships/hyperlink" Target="https://implemendez.e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alscholars.ac.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227BBC64C99745A6FC34320787B50F" ma:contentTypeVersion="6" ma:contentTypeDescription="Create a new document." ma:contentTypeScope="" ma:versionID="9aa3bd058ef0606d7081e286cf08f9a7">
  <xsd:schema xmlns:xsd="http://www.w3.org/2001/XMLSchema" xmlns:xs="http://www.w3.org/2001/XMLSchema" xmlns:p="http://schemas.microsoft.com/office/2006/metadata/properties" xmlns:ns2="5cea94e3-d4a0-4b0f-8bd9-f033f22a10df" xmlns:ns3="e58532ad-b682-4fe9-91bc-1d759c2fce9d" targetNamespace="http://schemas.microsoft.com/office/2006/metadata/properties" ma:root="true" ma:fieldsID="0633dcf8fa960e290e06fef53aa8e2d2" ns2:_="" ns3:_="">
    <xsd:import namespace="5cea94e3-d4a0-4b0f-8bd9-f033f22a10df"/>
    <xsd:import namespace="e58532ad-b682-4fe9-91bc-1d759c2fce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a94e3-d4a0-4b0f-8bd9-f033f22a1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8532ad-b682-4fe9-91bc-1d759c2fce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659765-7D87-4A85-A357-906986143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a94e3-d4a0-4b0f-8bd9-f033f22a10df"/>
    <ds:schemaRef ds:uri="e58532ad-b682-4fe9-91bc-1d759c2fc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DC8F59-132D-4882-A9E0-F21688D2754F}">
  <ds:schemaRefs>
    <ds:schemaRef ds:uri="http://schemas.microsoft.com/sharepoint/v3/contenttype/forms"/>
  </ds:schemaRefs>
</ds:datastoreItem>
</file>

<file path=customXml/itemProps3.xml><?xml version="1.0" encoding="utf-8"?>
<ds:datastoreItem xmlns:ds="http://schemas.openxmlformats.org/officeDocument/2006/customXml" ds:itemID="{23ED9ABF-D80C-5B4A-8F62-5087056E0CA7}">
  <ds:schemaRefs>
    <ds:schemaRef ds:uri="http://schemas.openxmlformats.org/officeDocument/2006/bibliography"/>
  </ds:schemaRefs>
</ds:datastoreItem>
</file>

<file path=customXml/itemProps4.xml><?xml version="1.0" encoding="utf-8"?>
<ds:datastoreItem xmlns:ds="http://schemas.openxmlformats.org/officeDocument/2006/customXml" ds:itemID="{68B1B22E-CF7C-41E5-9673-0CD269877F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924</Words>
  <Characters>5271</Characters>
  <Application>Microsoft Office Word</Application>
  <DocSecurity>0</DocSecurity>
  <Lines>43</Lines>
  <Paragraphs>12</Paragraphs>
  <ScaleCrop>false</ScaleCrop>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Fairclough (Birmingham Law School)</dc:creator>
  <cp:keywords/>
  <dc:description/>
  <cp:lastModifiedBy>Roxanna Dehaghani</cp:lastModifiedBy>
  <cp:revision>3</cp:revision>
  <dcterms:created xsi:type="dcterms:W3CDTF">2025-04-15T09:58:00Z</dcterms:created>
  <dcterms:modified xsi:type="dcterms:W3CDTF">2025-04-15T10:01:00Z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0x010100C1227BBC64C99745A6FC34320787B50F</vt:lpwstr>
  </property>
</Properties>
</file>